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chiara"/>
        <w:tblpPr w:leftFromText="141" w:rightFromText="141" w:tblpY="570"/>
        <w:tblW w:w="5000" w:type="pct"/>
        <w:tblLook w:val="04A0" w:firstRow="1" w:lastRow="0" w:firstColumn="1" w:lastColumn="0" w:noHBand="0" w:noVBand="1"/>
      </w:tblPr>
      <w:tblGrid>
        <w:gridCol w:w="1691"/>
        <w:gridCol w:w="1901"/>
        <w:gridCol w:w="2074"/>
        <w:gridCol w:w="1540"/>
        <w:gridCol w:w="2422"/>
      </w:tblGrid>
      <w:tr w:rsidR="000D4C48" w:rsidRPr="000D4C48" w14:paraId="48212A4F" w14:textId="77777777" w:rsidTr="005B5EB2">
        <w:trPr>
          <w:trHeight w:val="290"/>
        </w:trPr>
        <w:tc>
          <w:tcPr>
            <w:tcW w:w="5000" w:type="pct"/>
            <w:gridSpan w:val="5"/>
            <w:noWrap/>
            <w:hideMark/>
          </w:tcPr>
          <w:p w14:paraId="1F778B21" w14:textId="7910BADB" w:rsidR="000D4C48" w:rsidRPr="000D4C48" w:rsidRDefault="000D4C48" w:rsidP="005B5EB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Hlk45267163"/>
            <w:r w:rsidRPr="000D4C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Distribuzione del fatturato delle PMI per classe di impatto Covid-19</w:t>
            </w:r>
          </w:p>
        </w:tc>
      </w:tr>
      <w:tr w:rsidR="006B2E5C" w:rsidRPr="000D4C48" w14:paraId="41A778EA" w14:textId="77777777" w:rsidTr="006B2E5C">
        <w:trPr>
          <w:trHeight w:val="290"/>
        </w:trPr>
        <w:tc>
          <w:tcPr>
            <w:tcW w:w="5000" w:type="pct"/>
            <w:gridSpan w:val="5"/>
            <w:noWrap/>
            <w:hideMark/>
          </w:tcPr>
          <w:p w14:paraId="538F75CF" w14:textId="2D66BA55" w:rsidR="006B2E5C" w:rsidRPr="006B2E5C" w:rsidRDefault="006B2E5C" w:rsidP="006B2E5C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6B2E5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it-IT"/>
              </w:rPr>
              <w:t>% sul totale fatturato PMI</w:t>
            </w:r>
          </w:p>
        </w:tc>
      </w:tr>
      <w:tr w:rsidR="000D4C48" w:rsidRPr="000D4C48" w14:paraId="3D0F7B77" w14:textId="77777777" w:rsidTr="007A0680">
        <w:trPr>
          <w:trHeight w:val="290"/>
        </w:trPr>
        <w:tc>
          <w:tcPr>
            <w:tcW w:w="878" w:type="pct"/>
            <w:noWrap/>
            <w:hideMark/>
          </w:tcPr>
          <w:p w14:paraId="5BFC16BB" w14:textId="5D193889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87" w:type="pct"/>
            <w:noWrap/>
            <w:hideMark/>
          </w:tcPr>
          <w:p w14:paraId="7100EDEB" w14:textId="77777777" w:rsidR="000D4C48" w:rsidRPr="005B5EB2" w:rsidRDefault="000D4C48" w:rsidP="005B5E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B5E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Settori anticiclici (%)</w:t>
            </w:r>
          </w:p>
        </w:tc>
        <w:tc>
          <w:tcPr>
            <w:tcW w:w="1077" w:type="pct"/>
            <w:noWrap/>
            <w:hideMark/>
          </w:tcPr>
          <w:p w14:paraId="4BB43AC5" w14:textId="77777777" w:rsidR="000D4C48" w:rsidRPr="005B5EB2" w:rsidRDefault="000D4C48" w:rsidP="005B5E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B5E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Impatto moderato (%)</w:t>
            </w:r>
          </w:p>
        </w:tc>
        <w:tc>
          <w:tcPr>
            <w:tcW w:w="800" w:type="pct"/>
            <w:noWrap/>
            <w:hideMark/>
          </w:tcPr>
          <w:p w14:paraId="5C3F6EB5" w14:textId="77777777" w:rsidR="000D4C48" w:rsidRPr="005B5EB2" w:rsidRDefault="000D4C48" w:rsidP="005B5E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B5E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Impatto alto (%)</w:t>
            </w:r>
          </w:p>
        </w:tc>
        <w:tc>
          <w:tcPr>
            <w:tcW w:w="1258" w:type="pct"/>
            <w:noWrap/>
            <w:hideMark/>
          </w:tcPr>
          <w:p w14:paraId="0886F91D" w14:textId="77777777" w:rsidR="000D4C48" w:rsidRPr="005B5EB2" w:rsidRDefault="000D4C48" w:rsidP="005B5EB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5B5EB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Impatto molto intenso (%)</w:t>
            </w:r>
          </w:p>
        </w:tc>
      </w:tr>
      <w:tr w:rsidR="000D4C48" w:rsidRPr="000D4C48" w14:paraId="11B8861D" w14:textId="77777777" w:rsidTr="007A0680">
        <w:trPr>
          <w:trHeight w:val="290"/>
        </w:trPr>
        <w:tc>
          <w:tcPr>
            <w:tcW w:w="878" w:type="pct"/>
            <w:noWrap/>
            <w:hideMark/>
          </w:tcPr>
          <w:p w14:paraId="16006B56" w14:textId="77777777" w:rsidR="000D4C48" w:rsidRPr="000D4C48" w:rsidRDefault="000D4C48" w:rsidP="005B5EB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987" w:type="pct"/>
            <w:noWrap/>
            <w:hideMark/>
          </w:tcPr>
          <w:p w14:paraId="29227352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9,5%</w:t>
            </w:r>
          </w:p>
        </w:tc>
        <w:tc>
          <w:tcPr>
            <w:tcW w:w="1077" w:type="pct"/>
            <w:noWrap/>
            <w:hideMark/>
          </w:tcPr>
          <w:p w14:paraId="29AEE9A8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26,2%</w:t>
            </w:r>
          </w:p>
        </w:tc>
        <w:tc>
          <w:tcPr>
            <w:tcW w:w="800" w:type="pct"/>
            <w:noWrap/>
            <w:hideMark/>
          </w:tcPr>
          <w:p w14:paraId="364695D8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28,8%</w:t>
            </w:r>
          </w:p>
        </w:tc>
        <w:tc>
          <w:tcPr>
            <w:tcW w:w="1258" w:type="pct"/>
            <w:noWrap/>
            <w:hideMark/>
          </w:tcPr>
          <w:p w14:paraId="4CEF41B4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35,5%</w:t>
            </w:r>
          </w:p>
        </w:tc>
      </w:tr>
      <w:tr w:rsidR="000D4C48" w:rsidRPr="000D4C48" w14:paraId="7BA46B4F" w14:textId="77777777" w:rsidTr="00E12C4E">
        <w:trPr>
          <w:trHeight w:val="215"/>
        </w:trPr>
        <w:tc>
          <w:tcPr>
            <w:tcW w:w="878" w:type="pct"/>
            <w:noWrap/>
            <w:hideMark/>
          </w:tcPr>
          <w:p w14:paraId="6EFDB357" w14:textId="77777777" w:rsidR="000D4C48" w:rsidRPr="000D4C48" w:rsidRDefault="000D4C48" w:rsidP="005B5EB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987" w:type="pct"/>
            <w:noWrap/>
            <w:hideMark/>
          </w:tcPr>
          <w:p w14:paraId="15D60246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7,5%</w:t>
            </w:r>
          </w:p>
        </w:tc>
        <w:tc>
          <w:tcPr>
            <w:tcW w:w="1077" w:type="pct"/>
            <w:noWrap/>
            <w:hideMark/>
          </w:tcPr>
          <w:p w14:paraId="4E220009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26,7%</w:t>
            </w:r>
          </w:p>
        </w:tc>
        <w:tc>
          <w:tcPr>
            <w:tcW w:w="800" w:type="pct"/>
            <w:noWrap/>
            <w:hideMark/>
          </w:tcPr>
          <w:p w14:paraId="0968337D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29,3%</w:t>
            </w:r>
          </w:p>
        </w:tc>
        <w:tc>
          <w:tcPr>
            <w:tcW w:w="1258" w:type="pct"/>
            <w:noWrap/>
            <w:hideMark/>
          </w:tcPr>
          <w:p w14:paraId="7D8BEA32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36,5%</w:t>
            </w:r>
          </w:p>
        </w:tc>
      </w:tr>
      <w:tr w:rsidR="000D4C48" w:rsidRPr="000D4C48" w14:paraId="5519383C" w14:textId="77777777" w:rsidTr="007A0680">
        <w:trPr>
          <w:trHeight w:val="290"/>
        </w:trPr>
        <w:tc>
          <w:tcPr>
            <w:tcW w:w="878" w:type="pct"/>
            <w:noWrap/>
            <w:hideMark/>
          </w:tcPr>
          <w:p w14:paraId="63599240" w14:textId="77777777" w:rsidR="000D4C48" w:rsidRPr="000D4C48" w:rsidRDefault="000D4C48" w:rsidP="005B5EB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987" w:type="pct"/>
            <w:noWrap/>
            <w:hideMark/>
          </w:tcPr>
          <w:p w14:paraId="7E4C9A8E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8,1%</w:t>
            </w:r>
          </w:p>
        </w:tc>
        <w:tc>
          <w:tcPr>
            <w:tcW w:w="1077" w:type="pct"/>
            <w:noWrap/>
            <w:hideMark/>
          </w:tcPr>
          <w:p w14:paraId="5BD23CB6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25,7%</w:t>
            </w:r>
          </w:p>
        </w:tc>
        <w:tc>
          <w:tcPr>
            <w:tcW w:w="800" w:type="pct"/>
            <w:noWrap/>
            <w:hideMark/>
          </w:tcPr>
          <w:p w14:paraId="2B6FE72A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30,7%</w:t>
            </w:r>
          </w:p>
        </w:tc>
        <w:tc>
          <w:tcPr>
            <w:tcW w:w="1258" w:type="pct"/>
            <w:noWrap/>
            <w:hideMark/>
          </w:tcPr>
          <w:p w14:paraId="7F03EFF3" w14:textId="77777777" w:rsidR="000D4C48" w:rsidRPr="000D4C48" w:rsidRDefault="000D4C48" w:rsidP="005B5EB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35,5%</w:t>
            </w:r>
          </w:p>
        </w:tc>
      </w:tr>
      <w:tr w:rsidR="00E12C4E" w:rsidRPr="000D4C48" w14:paraId="4A39B1D3" w14:textId="77777777" w:rsidTr="00BC44B2">
        <w:trPr>
          <w:trHeight w:val="290"/>
        </w:trPr>
        <w:tc>
          <w:tcPr>
            <w:tcW w:w="878" w:type="pct"/>
            <w:noWrap/>
            <w:vAlign w:val="center"/>
          </w:tcPr>
          <w:p w14:paraId="34DCEDD6" w14:textId="33275504" w:rsidR="00E12C4E" w:rsidRPr="00C821F4" w:rsidRDefault="00E12C4E" w:rsidP="00E12C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eastAsia="it-IT"/>
              </w:rPr>
              <w:t>Lombardia</w:t>
            </w:r>
          </w:p>
        </w:tc>
        <w:tc>
          <w:tcPr>
            <w:tcW w:w="987" w:type="pct"/>
            <w:noWrap/>
          </w:tcPr>
          <w:p w14:paraId="1A9CFE97" w14:textId="06F536D9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7,8%</w:t>
            </w:r>
          </w:p>
        </w:tc>
        <w:tc>
          <w:tcPr>
            <w:tcW w:w="1077" w:type="pct"/>
            <w:noWrap/>
          </w:tcPr>
          <w:p w14:paraId="13DFA426" w14:textId="0845E5BF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25,5%</w:t>
            </w:r>
          </w:p>
        </w:tc>
        <w:tc>
          <w:tcPr>
            <w:tcW w:w="800" w:type="pct"/>
            <w:noWrap/>
          </w:tcPr>
          <w:p w14:paraId="05A90F9D" w14:textId="7C8B8BBA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31,5%</w:t>
            </w:r>
          </w:p>
        </w:tc>
        <w:tc>
          <w:tcPr>
            <w:tcW w:w="1258" w:type="pct"/>
            <w:noWrap/>
          </w:tcPr>
          <w:p w14:paraId="41C8AA4A" w14:textId="107C5962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35,2%</w:t>
            </w:r>
          </w:p>
        </w:tc>
      </w:tr>
      <w:tr w:rsidR="00E12C4E" w:rsidRPr="000D4C48" w14:paraId="12DEB15B" w14:textId="77777777" w:rsidTr="007A0680">
        <w:trPr>
          <w:trHeight w:val="290"/>
        </w:trPr>
        <w:tc>
          <w:tcPr>
            <w:tcW w:w="878" w:type="pct"/>
            <w:noWrap/>
            <w:hideMark/>
          </w:tcPr>
          <w:p w14:paraId="438F327C" w14:textId="77777777" w:rsidR="00E12C4E" w:rsidRPr="000D4C48" w:rsidRDefault="00E12C4E" w:rsidP="00E12C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987" w:type="pct"/>
            <w:noWrap/>
            <w:hideMark/>
          </w:tcPr>
          <w:p w14:paraId="67908CF8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10,2%</w:t>
            </w:r>
          </w:p>
        </w:tc>
        <w:tc>
          <w:tcPr>
            <w:tcW w:w="1077" w:type="pct"/>
            <w:noWrap/>
            <w:hideMark/>
          </w:tcPr>
          <w:p w14:paraId="2F7D02B3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24,7%</w:t>
            </w:r>
          </w:p>
        </w:tc>
        <w:tc>
          <w:tcPr>
            <w:tcW w:w="800" w:type="pct"/>
            <w:noWrap/>
            <w:hideMark/>
          </w:tcPr>
          <w:p w14:paraId="69DD697D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28,8%</w:t>
            </w:r>
          </w:p>
        </w:tc>
        <w:tc>
          <w:tcPr>
            <w:tcW w:w="1258" w:type="pct"/>
            <w:noWrap/>
            <w:hideMark/>
          </w:tcPr>
          <w:p w14:paraId="6E24BFCB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36,4%</w:t>
            </w:r>
          </w:p>
        </w:tc>
      </w:tr>
      <w:tr w:rsidR="00E12C4E" w:rsidRPr="000D4C48" w14:paraId="4AF530F7" w14:textId="77777777" w:rsidTr="007A0680">
        <w:trPr>
          <w:trHeight w:val="300"/>
        </w:trPr>
        <w:tc>
          <w:tcPr>
            <w:tcW w:w="878" w:type="pct"/>
            <w:noWrap/>
            <w:hideMark/>
          </w:tcPr>
          <w:p w14:paraId="0446A509" w14:textId="77777777" w:rsidR="00E12C4E" w:rsidRPr="000D4C48" w:rsidRDefault="00E12C4E" w:rsidP="00E12C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987" w:type="pct"/>
            <w:noWrap/>
            <w:hideMark/>
          </w:tcPr>
          <w:p w14:paraId="25360DDB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15,4%</w:t>
            </w:r>
          </w:p>
        </w:tc>
        <w:tc>
          <w:tcPr>
            <w:tcW w:w="1077" w:type="pct"/>
            <w:noWrap/>
            <w:hideMark/>
          </w:tcPr>
          <w:p w14:paraId="25BE5E41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27,8%</w:t>
            </w:r>
          </w:p>
        </w:tc>
        <w:tc>
          <w:tcPr>
            <w:tcW w:w="800" w:type="pct"/>
            <w:noWrap/>
            <w:hideMark/>
          </w:tcPr>
          <w:p w14:paraId="1332B956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24,0%</w:t>
            </w:r>
          </w:p>
        </w:tc>
        <w:tc>
          <w:tcPr>
            <w:tcW w:w="1258" w:type="pct"/>
            <w:noWrap/>
            <w:hideMark/>
          </w:tcPr>
          <w:p w14:paraId="1BFCC3EE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32,8%</w:t>
            </w:r>
          </w:p>
        </w:tc>
      </w:tr>
    </w:tbl>
    <w:bookmarkEnd w:id="0"/>
    <w:p w14:paraId="3A08278B" w14:textId="4514B6CD" w:rsidR="000D4C48" w:rsidRPr="005B5EB2" w:rsidRDefault="005B5EB2">
      <w:pPr>
        <w:rPr>
          <w:b/>
          <w:bCs/>
          <w:sz w:val="24"/>
          <w:szCs w:val="24"/>
        </w:rPr>
      </w:pPr>
      <w:r w:rsidRPr="005B5EB2">
        <w:rPr>
          <w:b/>
          <w:bCs/>
          <w:sz w:val="24"/>
          <w:szCs w:val="24"/>
        </w:rPr>
        <w:t xml:space="preserve">Tabelle sintesi, </w:t>
      </w:r>
      <w:r w:rsidR="00D32CB2">
        <w:rPr>
          <w:b/>
          <w:bCs/>
          <w:sz w:val="24"/>
          <w:szCs w:val="24"/>
        </w:rPr>
        <w:t>Lombardia</w:t>
      </w:r>
    </w:p>
    <w:p w14:paraId="6D3049E0" w14:textId="7B8F9827" w:rsidR="005B5EB2" w:rsidRDefault="005B5EB2"/>
    <w:p w14:paraId="48FE3598" w14:textId="245F8905" w:rsidR="005B5EB2" w:rsidRPr="005B5EB2" w:rsidRDefault="005B5EB2" w:rsidP="005B5EB2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B5EB2">
        <w:rPr>
          <w:rFonts w:ascii="Calibri" w:eastAsia="Calibri" w:hAnsi="Calibri" w:cs="Times New Roman"/>
          <w:sz w:val="20"/>
          <w:szCs w:val="20"/>
        </w:rPr>
        <w:t xml:space="preserve">Le previsioni regionali sull’andamento post-Covid-19 dei ricavi delle PMI riflettono la diversa specializzazione produttiva dei territori. </w:t>
      </w:r>
    </w:p>
    <w:p w14:paraId="22A35C36" w14:textId="77777777" w:rsidR="006B2E5C" w:rsidRDefault="005B5EB2" w:rsidP="005B5EB2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B5EB2">
        <w:rPr>
          <w:rFonts w:ascii="Calibri" w:eastAsia="Calibri" w:hAnsi="Calibri" w:cs="Times New Roman"/>
          <w:sz w:val="20"/>
          <w:szCs w:val="20"/>
        </w:rPr>
        <w:t xml:space="preserve">Complessivamente il 35,5% del fatturato delle PMI italiane si concentra in settori in cui l’impatto del </w:t>
      </w:r>
      <w:proofErr w:type="spellStart"/>
      <w:r w:rsidRPr="005B5EB2">
        <w:rPr>
          <w:rFonts w:ascii="Calibri" w:eastAsia="Calibri" w:hAnsi="Calibri" w:cs="Times New Roman"/>
          <w:sz w:val="20"/>
          <w:szCs w:val="20"/>
        </w:rPr>
        <w:t>Covid</w:t>
      </w:r>
      <w:proofErr w:type="spellEnd"/>
      <w:r w:rsidRPr="005B5EB2">
        <w:rPr>
          <w:rFonts w:ascii="Calibri" w:eastAsia="Calibri" w:hAnsi="Calibri" w:cs="Times New Roman"/>
          <w:sz w:val="20"/>
          <w:szCs w:val="20"/>
        </w:rPr>
        <w:t xml:space="preserve"> è molto intenso (con cali nel 2020 superiori al 25,6%). Tra questi settori figurano le attività più penalizzate dal </w:t>
      </w:r>
      <w:proofErr w:type="spellStart"/>
      <w:r w:rsidRPr="005B5EB2">
        <w:rPr>
          <w:rFonts w:ascii="Calibri" w:eastAsia="Calibri" w:hAnsi="Calibri" w:cs="Times New Roman"/>
          <w:sz w:val="20"/>
          <w:szCs w:val="20"/>
        </w:rPr>
        <w:t>lockdown</w:t>
      </w:r>
      <w:proofErr w:type="spellEnd"/>
      <w:r w:rsidRPr="005B5EB2">
        <w:rPr>
          <w:rFonts w:ascii="Calibri" w:eastAsia="Calibri" w:hAnsi="Calibri" w:cs="Times New Roman"/>
          <w:sz w:val="20"/>
          <w:szCs w:val="20"/>
        </w:rPr>
        <w:t xml:space="preserve"> e dalle restrizioni alla mobilità dovute all’emergenza sanitaria, come il comparto turistico, i trasporti, </w:t>
      </w:r>
      <w:proofErr w:type="spellStart"/>
      <w:r w:rsidRPr="005B5EB2">
        <w:rPr>
          <w:rFonts w:ascii="Calibri" w:eastAsia="Calibri" w:hAnsi="Calibri" w:cs="Times New Roman"/>
          <w:sz w:val="20"/>
          <w:szCs w:val="20"/>
        </w:rPr>
        <w:t>l’automotive</w:t>
      </w:r>
      <w:proofErr w:type="spellEnd"/>
      <w:r w:rsidRPr="005B5EB2">
        <w:rPr>
          <w:rFonts w:ascii="Calibri" w:eastAsia="Calibri" w:hAnsi="Calibri" w:cs="Times New Roman"/>
          <w:sz w:val="20"/>
          <w:szCs w:val="20"/>
        </w:rPr>
        <w:t xml:space="preserve"> e la ristorazione.</w:t>
      </w:r>
    </w:p>
    <w:p w14:paraId="7E16CA07" w14:textId="77777777" w:rsidR="006B2E5C" w:rsidRDefault="005B5EB2" w:rsidP="005B5EB2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B5EB2">
        <w:rPr>
          <w:rFonts w:ascii="Calibri" w:eastAsia="Calibri" w:hAnsi="Calibri" w:cs="Times New Roman"/>
          <w:sz w:val="20"/>
          <w:szCs w:val="20"/>
        </w:rPr>
        <w:t xml:space="preserve"> I settori ad alto impatto sono le attività in cui il calo previsto nel 2020 è superiore alla media nazionale (-12,7%) e inferiore al -25,6%. In questa categoria si concentra il 29,3% del fatturato delle PMI italiane. </w:t>
      </w:r>
    </w:p>
    <w:p w14:paraId="0C40BC16" w14:textId="77777777" w:rsidR="006B2E5C" w:rsidRDefault="005B5EB2" w:rsidP="005B5EB2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B5EB2">
        <w:rPr>
          <w:rFonts w:ascii="Calibri" w:eastAsia="Calibri" w:hAnsi="Calibri" w:cs="Times New Roman"/>
          <w:sz w:val="20"/>
          <w:szCs w:val="20"/>
        </w:rPr>
        <w:t xml:space="preserve">I settori a impatto moderato, nei quali si concentra il 26,2% del fatturato prodotto dalle PMI italiane, presentano previsioni per il 2020 in calo ma con intensità inferiori rispetto alla media nazionale. </w:t>
      </w:r>
    </w:p>
    <w:p w14:paraId="5B5AF34A" w14:textId="4B51629B" w:rsidR="005B5EB2" w:rsidRPr="005B5EB2" w:rsidRDefault="005B5EB2" w:rsidP="005B5EB2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B5EB2">
        <w:rPr>
          <w:rFonts w:ascii="Calibri" w:eastAsia="Calibri" w:hAnsi="Calibri" w:cs="Times New Roman"/>
          <w:sz w:val="20"/>
          <w:szCs w:val="20"/>
        </w:rPr>
        <w:t>Infine, i settori anticiclici, in cui si concentra l’9,5% del fatturato complessivo delle PMI, sono le attività che nel 2020 vedranno crescere i loro ricavi.</w:t>
      </w:r>
    </w:p>
    <w:p w14:paraId="00B24661" w14:textId="77777777" w:rsidR="006B2E5C" w:rsidRDefault="005B5EB2" w:rsidP="005B5EB2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B5EB2">
        <w:rPr>
          <w:rFonts w:ascii="Calibri" w:eastAsia="Calibri" w:hAnsi="Calibri" w:cs="Times New Roman"/>
          <w:sz w:val="20"/>
          <w:szCs w:val="20"/>
        </w:rPr>
        <w:t xml:space="preserve">Il Nord-Est è l’area che presenta l’incidenza sul fatturato più elevata dei settori a forte impatto Covid-19 (36,5%), seguito a poca distanza dal Centro (36,4%), mentre Nord-Ovest (35,5%) e soprattutto il Sud Italia (32,8%) risultano relativamente meno specializzati nei settori più esposti allo shock. </w:t>
      </w:r>
    </w:p>
    <w:p w14:paraId="67A5BCFC" w14:textId="2A7C616C" w:rsidR="005B5EB2" w:rsidRPr="005B5EB2" w:rsidRDefault="005B5EB2" w:rsidP="005B5EB2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B5EB2">
        <w:rPr>
          <w:rFonts w:ascii="Calibri" w:eastAsia="Calibri" w:hAnsi="Calibri" w:cs="Times New Roman"/>
          <w:sz w:val="20"/>
          <w:szCs w:val="20"/>
        </w:rPr>
        <w:t>In parallelo, il Mezzogiorno evidenzia anche la quota più alta di settori anticiclici (15,4%), con questi ultimi che si attestano su percentuali lievemente superiori al 10% nel Centro Italia (10,2%) e su valori nettamente più bassi nel Nord-Est (7,5%) e nel Nord-Ovest (8,1%).</w:t>
      </w:r>
    </w:p>
    <w:p w14:paraId="3A70B3F6" w14:textId="77777777" w:rsidR="005B5EB2" w:rsidRDefault="005B5EB2"/>
    <w:tbl>
      <w:tblPr>
        <w:tblStyle w:val="Grigliatabellachiara"/>
        <w:tblW w:w="5000" w:type="pct"/>
        <w:tblLayout w:type="fixed"/>
        <w:tblLook w:val="04A0" w:firstRow="1" w:lastRow="0" w:firstColumn="1" w:lastColumn="0" w:noHBand="0" w:noVBand="1"/>
      </w:tblPr>
      <w:tblGrid>
        <w:gridCol w:w="1463"/>
        <w:gridCol w:w="1365"/>
        <w:gridCol w:w="1845"/>
        <w:gridCol w:w="1275"/>
        <w:gridCol w:w="1560"/>
        <w:gridCol w:w="1134"/>
        <w:gridCol w:w="986"/>
      </w:tblGrid>
      <w:tr w:rsidR="005B5EB2" w:rsidRPr="000D4C48" w14:paraId="623E2B33" w14:textId="77777777" w:rsidTr="005B5EB2">
        <w:trPr>
          <w:trHeight w:val="290"/>
        </w:trPr>
        <w:tc>
          <w:tcPr>
            <w:tcW w:w="5000" w:type="pct"/>
            <w:gridSpan w:val="7"/>
            <w:noWrap/>
            <w:hideMark/>
          </w:tcPr>
          <w:p w14:paraId="1A62FADA" w14:textId="11DD5A2C" w:rsidR="005B5EB2" w:rsidRPr="000D4C48" w:rsidRDefault="005B5EB2" w:rsidP="005B5EB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Andamento del fatturato nelle regioni italiane</w:t>
            </w:r>
          </w:p>
        </w:tc>
      </w:tr>
      <w:tr w:rsidR="005B5EB2" w:rsidRPr="000D4C48" w14:paraId="0251D530" w14:textId="77777777" w:rsidTr="005B5EB2">
        <w:trPr>
          <w:trHeight w:val="290"/>
        </w:trPr>
        <w:tc>
          <w:tcPr>
            <w:tcW w:w="5000" w:type="pct"/>
            <w:gridSpan w:val="7"/>
            <w:noWrap/>
            <w:hideMark/>
          </w:tcPr>
          <w:p w14:paraId="146BB029" w14:textId="337BF742" w:rsidR="005B5EB2" w:rsidRPr="000D4C48" w:rsidRDefault="005B5EB2" w:rsidP="005B5EB2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it-IT"/>
              </w:rPr>
              <w:t>Stima 2019 e previsioni 2020-21 - Fatturato (milioni di euro) e tassi di variazione (a/a, %)</w:t>
            </w:r>
          </w:p>
        </w:tc>
      </w:tr>
      <w:tr w:rsidR="000D4C48" w:rsidRPr="000D4C48" w14:paraId="2FA51DE0" w14:textId="77777777" w:rsidTr="00513F4D">
        <w:trPr>
          <w:trHeight w:val="290"/>
        </w:trPr>
        <w:tc>
          <w:tcPr>
            <w:tcW w:w="760" w:type="pct"/>
            <w:noWrap/>
            <w:hideMark/>
          </w:tcPr>
          <w:p w14:paraId="3BB0B4D4" w14:textId="76DE558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329" w:type="pct"/>
            <w:gridSpan w:val="3"/>
            <w:noWrap/>
            <w:hideMark/>
          </w:tcPr>
          <w:p w14:paraId="051609AD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fatturato (€ mln)</w:t>
            </w:r>
          </w:p>
        </w:tc>
        <w:tc>
          <w:tcPr>
            <w:tcW w:w="1911" w:type="pct"/>
            <w:gridSpan w:val="3"/>
            <w:noWrap/>
            <w:hideMark/>
          </w:tcPr>
          <w:p w14:paraId="397DF176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tassi di variazione a/a</w:t>
            </w:r>
          </w:p>
        </w:tc>
      </w:tr>
      <w:tr w:rsidR="000D4C48" w:rsidRPr="000D4C48" w14:paraId="16758109" w14:textId="77777777" w:rsidTr="00513F4D">
        <w:trPr>
          <w:trHeight w:val="290"/>
        </w:trPr>
        <w:tc>
          <w:tcPr>
            <w:tcW w:w="760" w:type="pct"/>
            <w:noWrap/>
            <w:hideMark/>
          </w:tcPr>
          <w:p w14:paraId="6C77E454" w14:textId="4A8409F6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09" w:type="pct"/>
            <w:noWrap/>
            <w:hideMark/>
          </w:tcPr>
          <w:p w14:paraId="4E7F4F12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2019</w:t>
            </w:r>
          </w:p>
        </w:tc>
        <w:tc>
          <w:tcPr>
            <w:tcW w:w="958" w:type="pct"/>
            <w:noWrap/>
            <w:hideMark/>
          </w:tcPr>
          <w:p w14:paraId="05093664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2020</w:t>
            </w:r>
          </w:p>
        </w:tc>
        <w:tc>
          <w:tcPr>
            <w:tcW w:w="662" w:type="pct"/>
            <w:noWrap/>
            <w:hideMark/>
          </w:tcPr>
          <w:p w14:paraId="4D784D6E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2021</w:t>
            </w:r>
          </w:p>
        </w:tc>
        <w:tc>
          <w:tcPr>
            <w:tcW w:w="810" w:type="pct"/>
            <w:noWrap/>
            <w:hideMark/>
          </w:tcPr>
          <w:p w14:paraId="1B3F4A28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2020/19</w:t>
            </w:r>
          </w:p>
        </w:tc>
        <w:tc>
          <w:tcPr>
            <w:tcW w:w="589" w:type="pct"/>
            <w:noWrap/>
            <w:hideMark/>
          </w:tcPr>
          <w:p w14:paraId="660CA829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2021/20</w:t>
            </w:r>
          </w:p>
        </w:tc>
        <w:tc>
          <w:tcPr>
            <w:tcW w:w="512" w:type="pct"/>
            <w:noWrap/>
            <w:hideMark/>
          </w:tcPr>
          <w:p w14:paraId="0E9C1F9D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2021/19</w:t>
            </w:r>
          </w:p>
        </w:tc>
      </w:tr>
      <w:tr w:rsidR="000D4C48" w:rsidRPr="000D4C48" w14:paraId="286E6C50" w14:textId="77777777" w:rsidTr="00513F4D">
        <w:trPr>
          <w:trHeight w:val="290"/>
        </w:trPr>
        <w:tc>
          <w:tcPr>
            <w:tcW w:w="760" w:type="pct"/>
            <w:noWrap/>
            <w:hideMark/>
          </w:tcPr>
          <w:p w14:paraId="34E3F62F" w14:textId="77777777" w:rsidR="000D4C48" w:rsidRPr="000D4C48" w:rsidRDefault="000D4C48" w:rsidP="000D4C4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709" w:type="pct"/>
            <w:noWrap/>
            <w:hideMark/>
          </w:tcPr>
          <w:p w14:paraId="28684098" w14:textId="13502FE4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1.052.106</w:t>
            </w:r>
          </w:p>
        </w:tc>
        <w:tc>
          <w:tcPr>
            <w:tcW w:w="958" w:type="pct"/>
            <w:noWrap/>
            <w:hideMark/>
          </w:tcPr>
          <w:p w14:paraId="4282C0B0" w14:textId="5EEBC14C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917.539</w:t>
            </w:r>
          </w:p>
        </w:tc>
        <w:tc>
          <w:tcPr>
            <w:tcW w:w="662" w:type="pct"/>
            <w:noWrap/>
            <w:hideMark/>
          </w:tcPr>
          <w:p w14:paraId="2D2705FE" w14:textId="2307179E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1.020.176</w:t>
            </w:r>
          </w:p>
        </w:tc>
        <w:tc>
          <w:tcPr>
            <w:tcW w:w="810" w:type="pct"/>
            <w:noWrap/>
            <w:hideMark/>
          </w:tcPr>
          <w:p w14:paraId="4D1DA3E2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-12,8%</w:t>
            </w:r>
          </w:p>
        </w:tc>
        <w:tc>
          <w:tcPr>
            <w:tcW w:w="589" w:type="pct"/>
            <w:noWrap/>
            <w:hideMark/>
          </w:tcPr>
          <w:p w14:paraId="0525014D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11,2%</w:t>
            </w:r>
          </w:p>
        </w:tc>
        <w:tc>
          <w:tcPr>
            <w:tcW w:w="512" w:type="pct"/>
            <w:noWrap/>
            <w:hideMark/>
          </w:tcPr>
          <w:p w14:paraId="77AFA589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-3,0%</w:t>
            </w:r>
          </w:p>
        </w:tc>
      </w:tr>
      <w:tr w:rsidR="000D4C48" w:rsidRPr="000D4C48" w14:paraId="51E0BE9B" w14:textId="77777777" w:rsidTr="00513F4D">
        <w:trPr>
          <w:trHeight w:val="290"/>
        </w:trPr>
        <w:tc>
          <w:tcPr>
            <w:tcW w:w="760" w:type="pct"/>
            <w:noWrap/>
            <w:hideMark/>
          </w:tcPr>
          <w:p w14:paraId="2F3DF023" w14:textId="77777777" w:rsidR="000D4C48" w:rsidRPr="000D4C48" w:rsidRDefault="000D4C48" w:rsidP="000D4C4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709" w:type="pct"/>
            <w:noWrap/>
            <w:hideMark/>
          </w:tcPr>
          <w:p w14:paraId="76323598" w14:textId="4861564C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300.167</w:t>
            </w:r>
          </w:p>
        </w:tc>
        <w:tc>
          <w:tcPr>
            <w:tcW w:w="958" w:type="pct"/>
            <w:noWrap/>
            <w:hideMark/>
          </w:tcPr>
          <w:p w14:paraId="7F3F01F9" w14:textId="68F5A4A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260.674</w:t>
            </w:r>
          </w:p>
        </w:tc>
        <w:tc>
          <w:tcPr>
            <w:tcW w:w="662" w:type="pct"/>
            <w:noWrap/>
            <w:hideMark/>
          </w:tcPr>
          <w:p w14:paraId="2F3BB41B" w14:textId="375C2228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291.048</w:t>
            </w:r>
          </w:p>
        </w:tc>
        <w:tc>
          <w:tcPr>
            <w:tcW w:w="810" w:type="pct"/>
            <w:noWrap/>
            <w:hideMark/>
          </w:tcPr>
          <w:p w14:paraId="20793306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-13,2%</w:t>
            </w:r>
          </w:p>
        </w:tc>
        <w:tc>
          <w:tcPr>
            <w:tcW w:w="589" w:type="pct"/>
            <w:noWrap/>
            <w:hideMark/>
          </w:tcPr>
          <w:p w14:paraId="64A71E08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11,7%</w:t>
            </w:r>
          </w:p>
        </w:tc>
        <w:tc>
          <w:tcPr>
            <w:tcW w:w="512" w:type="pct"/>
            <w:noWrap/>
            <w:hideMark/>
          </w:tcPr>
          <w:p w14:paraId="7A38033A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-3,0%</w:t>
            </w:r>
          </w:p>
        </w:tc>
      </w:tr>
      <w:tr w:rsidR="000D4C48" w:rsidRPr="000D4C48" w14:paraId="4418E149" w14:textId="77777777" w:rsidTr="00513F4D">
        <w:trPr>
          <w:trHeight w:val="290"/>
        </w:trPr>
        <w:tc>
          <w:tcPr>
            <w:tcW w:w="760" w:type="pct"/>
            <w:noWrap/>
            <w:hideMark/>
          </w:tcPr>
          <w:p w14:paraId="24437120" w14:textId="77777777" w:rsidR="000D4C48" w:rsidRPr="000D4C48" w:rsidRDefault="000D4C48" w:rsidP="000D4C4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709" w:type="pct"/>
            <w:noWrap/>
            <w:hideMark/>
          </w:tcPr>
          <w:p w14:paraId="4A57A0C8" w14:textId="754D7659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390.568</w:t>
            </w:r>
          </w:p>
        </w:tc>
        <w:tc>
          <w:tcPr>
            <w:tcW w:w="958" w:type="pct"/>
            <w:noWrap/>
            <w:hideMark/>
          </w:tcPr>
          <w:p w14:paraId="1EBFEF6D" w14:textId="2CD9E663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339.989</w:t>
            </w:r>
          </w:p>
        </w:tc>
        <w:tc>
          <w:tcPr>
            <w:tcW w:w="662" w:type="pct"/>
            <w:noWrap/>
            <w:hideMark/>
          </w:tcPr>
          <w:p w14:paraId="4450E91C" w14:textId="3B01B418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378.892</w:t>
            </w:r>
          </w:p>
        </w:tc>
        <w:tc>
          <w:tcPr>
            <w:tcW w:w="810" w:type="pct"/>
            <w:noWrap/>
            <w:hideMark/>
          </w:tcPr>
          <w:p w14:paraId="6F0BC012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-13,0%</w:t>
            </w:r>
          </w:p>
        </w:tc>
        <w:tc>
          <w:tcPr>
            <w:tcW w:w="589" w:type="pct"/>
            <w:noWrap/>
            <w:hideMark/>
          </w:tcPr>
          <w:p w14:paraId="30D457C5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11,4%</w:t>
            </w:r>
          </w:p>
        </w:tc>
        <w:tc>
          <w:tcPr>
            <w:tcW w:w="512" w:type="pct"/>
            <w:noWrap/>
            <w:hideMark/>
          </w:tcPr>
          <w:p w14:paraId="5D37E353" w14:textId="77777777" w:rsidR="000D4C48" w:rsidRPr="000D4C48" w:rsidRDefault="000D4C48" w:rsidP="000D4C48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-3,0%</w:t>
            </w:r>
          </w:p>
        </w:tc>
      </w:tr>
      <w:tr w:rsidR="00E12C4E" w:rsidRPr="000D4C48" w14:paraId="7937A0F2" w14:textId="77777777" w:rsidTr="00513F4D">
        <w:trPr>
          <w:trHeight w:val="290"/>
        </w:trPr>
        <w:tc>
          <w:tcPr>
            <w:tcW w:w="760" w:type="pct"/>
            <w:noWrap/>
          </w:tcPr>
          <w:p w14:paraId="7523D496" w14:textId="60AA0697" w:rsidR="00E12C4E" w:rsidRPr="00C821F4" w:rsidRDefault="00E12C4E" w:rsidP="00E12C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eastAsia="it-IT"/>
              </w:rPr>
              <w:t>Lombardia</w:t>
            </w:r>
          </w:p>
        </w:tc>
        <w:tc>
          <w:tcPr>
            <w:tcW w:w="709" w:type="pct"/>
            <w:noWrap/>
          </w:tcPr>
          <w:p w14:paraId="7A9F7CD1" w14:textId="75CBC949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 xml:space="preserve"> 288.474   </w:t>
            </w:r>
          </w:p>
        </w:tc>
        <w:tc>
          <w:tcPr>
            <w:tcW w:w="958" w:type="pct"/>
            <w:noWrap/>
          </w:tcPr>
          <w:p w14:paraId="538467B8" w14:textId="25F5EE15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 xml:space="preserve"> 251.122   </w:t>
            </w:r>
          </w:p>
        </w:tc>
        <w:tc>
          <w:tcPr>
            <w:tcW w:w="662" w:type="pct"/>
            <w:noWrap/>
          </w:tcPr>
          <w:p w14:paraId="198BD92F" w14:textId="66BB5925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 xml:space="preserve"> 279.812   </w:t>
            </w:r>
          </w:p>
        </w:tc>
        <w:tc>
          <w:tcPr>
            <w:tcW w:w="810" w:type="pct"/>
            <w:noWrap/>
          </w:tcPr>
          <w:p w14:paraId="2517A3A9" w14:textId="3C57BF27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-12,9%</w:t>
            </w:r>
          </w:p>
        </w:tc>
        <w:tc>
          <w:tcPr>
            <w:tcW w:w="589" w:type="pct"/>
            <w:noWrap/>
          </w:tcPr>
          <w:p w14:paraId="16EE5E18" w14:textId="0D4D056D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11,4%</w:t>
            </w:r>
          </w:p>
        </w:tc>
        <w:tc>
          <w:tcPr>
            <w:tcW w:w="512" w:type="pct"/>
            <w:noWrap/>
          </w:tcPr>
          <w:p w14:paraId="519C6E13" w14:textId="5ED5DA4C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-3,0%</w:t>
            </w:r>
          </w:p>
        </w:tc>
      </w:tr>
      <w:tr w:rsidR="00E12C4E" w:rsidRPr="000D4C48" w14:paraId="03275709" w14:textId="77777777" w:rsidTr="00513F4D">
        <w:trPr>
          <w:trHeight w:val="290"/>
        </w:trPr>
        <w:tc>
          <w:tcPr>
            <w:tcW w:w="760" w:type="pct"/>
            <w:noWrap/>
            <w:hideMark/>
          </w:tcPr>
          <w:p w14:paraId="09878A36" w14:textId="77777777" w:rsidR="00E12C4E" w:rsidRPr="000D4C48" w:rsidRDefault="00E12C4E" w:rsidP="00E12C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709" w:type="pct"/>
            <w:noWrap/>
            <w:hideMark/>
          </w:tcPr>
          <w:p w14:paraId="2FCDE12E" w14:textId="413F74C5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187.685</w:t>
            </w:r>
          </w:p>
        </w:tc>
        <w:tc>
          <w:tcPr>
            <w:tcW w:w="958" w:type="pct"/>
            <w:noWrap/>
            <w:hideMark/>
          </w:tcPr>
          <w:p w14:paraId="084477F5" w14:textId="64501019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163.221</w:t>
            </w:r>
          </w:p>
        </w:tc>
        <w:tc>
          <w:tcPr>
            <w:tcW w:w="662" w:type="pct"/>
            <w:noWrap/>
            <w:hideMark/>
          </w:tcPr>
          <w:p w14:paraId="45BAA81A" w14:textId="35D2D324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181.491</w:t>
            </w:r>
          </w:p>
        </w:tc>
        <w:tc>
          <w:tcPr>
            <w:tcW w:w="810" w:type="pct"/>
            <w:noWrap/>
            <w:hideMark/>
          </w:tcPr>
          <w:p w14:paraId="24CFCCD5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-13,0%</w:t>
            </w:r>
          </w:p>
        </w:tc>
        <w:tc>
          <w:tcPr>
            <w:tcW w:w="589" w:type="pct"/>
            <w:noWrap/>
            <w:hideMark/>
          </w:tcPr>
          <w:p w14:paraId="52F1C39F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11,2%</w:t>
            </w:r>
          </w:p>
        </w:tc>
        <w:tc>
          <w:tcPr>
            <w:tcW w:w="512" w:type="pct"/>
            <w:noWrap/>
            <w:hideMark/>
          </w:tcPr>
          <w:p w14:paraId="1FEA861A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-3,3%</w:t>
            </w:r>
          </w:p>
        </w:tc>
      </w:tr>
      <w:tr w:rsidR="00E12C4E" w:rsidRPr="000D4C48" w14:paraId="1F8A6866" w14:textId="77777777" w:rsidTr="00513F4D">
        <w:trPr>
          <w:trHeight w:val="300"/>
        </w:trPr>
        <w:tc>
          <w:tcPr>
            <w:tcW w:w="760" w:type="pct"/>
            <w:noWrap/>
            <w:hideMark/>
          </w:tcPr>
          <w:p w14:paraId="1742A19B" w14:textId="77777777" w:rsidR="00E12C4E" w:rsidRPr="000D4C48" w:rsidRDefault="00E12C4E" w:rsidP="00E12C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709" w:type="pct"/>
            <w:noWrap/>
            <w:hideMark/>
          </w:tcPr>
          <w:p w14:paraId="723E66AA" w14:textId="7822DEC5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173.687</w:t>
            </w:r>
          </w:p>
        </w:tc>
        <w:tc>
          <w:tcPr>
            <w:tcW w:w="958" w:type="pct"/>
            <w:noWrap/>
            <w:hideMark/>
          </w:tcPr>
          <w:p w14:paraId="5EF570CE" w14:textId="79C1176B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153.654</w:t>
            </w:r>
          </w:p>
        </w:tc>
        <w:tc>
          <w:tcPr>
            <w:tcW w:w="662" w:type="pct"/>
            <w:noWrap/>
            <w:hideMark/>
          </w:tcPr>
          <w:p w14:paraId="08F58227" w14:textId="11A51461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168.743</w:t>
            </w:r>
          </w:p>
        </w:tc>
        <w:tc>
          <w:tcPr>
            <w:tcW w:w="810" w:type="pct"/>
            <w:noWrap/>
            <w:hideMark/>
          </w:tcPr>
          <w:p w14:paraId="4D8EDA8C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-11,5%</w:t>
            </w:r>
          </w:p>
        </w:tc>
        <w:tc>
          <w:tcPr>
            <w:tcW w:w="589" w:type="pct"/>
            <w:noWrap/>
            <w:hideMark/>
          </w:tcPr>
          <w:p w14:paraId="7C631887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9,8%</w:t>
            </w:r>
          </w:p>
        </w:tc>
        <w:tc>
          <w:tcPr>
            <w:tcW w:w="512" w:type="pct"/>
            <w:noWrap/>
            <w:hideMark/>
          </w:tcPr>
          <w:p w14:paraId="00B0F3EC" w14:textId="77777777" w:rsidR="00E12C4E" w:rsidRPr="000D4C48" w:rsidRDefault="00E12C4E" w:rsidP="00E12C4E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4C4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-2,8%</w:t>
            </w:r>
          </w:p>
        </w:tc>
      </w:tr>
    </w:tbl>
    <w:p w14:paraId="35DCC138" w14:textId="77777777" w:rsidR="0054358E" w:rsidRDefault="0054358E" w:rsidP="005B5EB2">
      <w:pPr>
        <w:jc w:val="both"/>
        <w:rPr>
          <w:rFonts w:ascii="Calibri" w:eastAsia="Calibri" w:hAnsi="Calibri" w:cs="Times New Roman"/>
          <w:sz w:val="20"/>
          <w:szCs w:val="20"/>
        </w:rPr>
      </w:pPr>
    </w:p>
    <w:p w14:paraId="6BBB4E1C" w14:textId="77777777" w:rsidR="0054358E" w:rsidRDefault="005B5EB2" w:rsidP="0054358E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B5EB2">
        <w:rPr>
          <w:rFonts w:ascii="Calibri" w:eastAsia="Calibri" w:hAnsi="Calibri" w:cs="Times New Roman"/>
          <w:sz w:val="20"/>
          <w:szCs w:val="20"/>
        </w:rPr>
        <w:t xml:space="preserve">Le stime sui fatturati del 2019 e le previsioni per il biennio 2020-21 evidenziano che il Covid-19 avrà un impatto molto significativo sulle performance delle PMI italiane. Nel complesso, le PMI italiane subiranno una contrazione dei ricavi </w:t>
      </w:r>
      <w:r w:rsidRPr="005B5EB2">
        <w:rPr>
          <w:rFonts w:ascii="Calibri" w:eastAsia="Calibri" w:hAnsi="Calibri" w:cs="Times New Roman"/>
          <w:sz w:val="20"/>
          <w:szCs w:val="20"/>
        </w:rPr>
        <w:lastRenderedPageBreak/>
        <w:t xml:space="preserve">del 12,8% nel 2020, seguita da un rimbalzo dell’11,8% nel 2021 che comunque non basterà a recuperare i livelli </w:t>
      </w:r>
      <w:proofErr w:type="spellStart"/>
      <w:r w:rsidRPr="005B5EB2">
        <w:rPr>
          <w:rFonts w:ascii="Calibri" w:eastAsia="Calibri" w:hAnsi="Calibri" w:cs="Times New Roman"/>
          <w:sz w:val="20"/>
          <w:szCs w:val="20"/>
        </w:rPr>
        <w:t>pre-Covid</w:t>
      </w:r>
      <w:proofErr w:type="spellEnd"/>
      <w:r w:rsidRPr="005B5EB2">
        <w:rPr>
          <w:rFonts w:ascii="Calibri" w:eastAsia="Calibri" w:hAnsi="Calibri" w:cs="Times New Roman"/>
          <w:sz w:val="20"/>
          <w:szCs w:val="20"/>
        </w:rPr>
        <w:t xml:space="preserve"> (-3% vs 2019). </w:t>
      </w:r>
      <w:r w:rsidR="0054358E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FD0405B" w14:textId="77777777" w:rsidR="006B2E5C" w:rsidRDefault="005B5EB2" w:rsidP="0054358E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B5EB2">
        <w:rPr>
          <w:rFonts w:ascii="Calibri" w:eastAsia="Calibri" w:hAnsi="Calibri" w:cs="Times New Roman"/>
          <w:sz w:val="20"/>
          <w:szCs w:val="20"/>
        </w:rPr>
        <w:t xml:space="preserve">Lo shock negativo generato dalla diffusione della pandemia produrrà effetti estesi a tutto il territorio nazionale. </w:t>
      </w:r>
    </w:p>
    <w:p w14:paraId="7CE80BB1" w14:textId="5242980E" w:rsidR="0054358E" w:rsidRDefault="005B5EB2" w:rsidP="0054358E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B5EB2">
        <w:rPr>
          <w:rFonts w:ascii="Calibri" w:eastAsia="Calibri" w:hAnsi="Calibri" w:cs="Times New Roman"/>
          <w:sz w:val="20"/>
          <w:szCs w:val="20"/>
        </w:rPr>
        <w:t xml:space="preserve">Le regioni del Centro-Nord subiranno una contrazione maggiore dei ricavi nel 2020, con cali del 13,2% nel Nord-Est e del 13% nel Nord-Ovest e nel Centro, mentre le PMI del Mezzogiorno faranno registrare un calo lievemente inferiore (-11,5%). </w:t>
      </w:r>
    </w:p>
    <w:p w14:paraId="6408CF99" w14:textId="45A598E9" w:rsidR="0054358E" w:rsidRPr="006B2E5C" w:rsidRDefault="0054358E" w:rsidP="0054358E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54358E">
        <w:rPr>
          <w:rFonts w:ascii="Calibri" w:eastAsia="Calibri" w:hAnsi="Calibri" w:cs="Times New Roman"/>
          <w:sz w:val="20"/>
          <w:szCs w:val="20"/>
        </w:rPr>
        <w:t>Il crollo dei ricavi previsto per effetto del Covid-19 riporterà in tutte le aree geografiche i fatturati al di sotto dei livelli del 2007, ma l’effetto sarà temporaneo. Già nel 2021 i ricavi delle PMI torneranno a livelli simili a quelli del 2018.</w:t>
      </w:r>
    </w:p>
    <w:p w14:paraId="15A384BB" w14:textId="5FA98C6E" w:rsidR="00513F4D" w:rsidRDefault="00513F4D"/>
    <w:tbl>
      <w:tblPr>
        <w:tblStyle w:val="Grigliatabellachiara"/>
        <w:tblW w:w="0" w:type="auto"/>
        <w:tblLook w:val="04A0" w:firstRow="1" w:lastRow="0" w:firstColumn="1" w:lastColumn="0" w:noHBand="0" w:noVBand="1"/>
      </w:tblPr>
      <w:tblGrid>
        <w:gridCol w:w="2188"/>
        <w:gridCol w:w="1488"/>
        <w:gridCol w:w="1488"/>
        <w:gridCol w:w="1488"/>
        <w:gridCol w:w="1488"/>
        <w:gridCol w:w="1488"/>
      </w:tblGrid>
      <w:tr w:rsidR="00513F4D" w:rsidRPr="00513F4D" w14:paraId="56C56CE3" w14:textId="77777777" w:rsidTr="00513F4D">
        <w:trPr>
          <w:trHeight w:val="290"/>
        </w:trPr>
        <w:tc>
          <w:tcPr>
            <w:tcW w:w="9628" w:type="dxa"/>
            <w:gridSpan w:val="6"/>
            <w:noWrap/>
            <w:hideMark/>
          </w:tcPr>
          <w:p w14:paraId="544ADB21" w14:textId="73D91223" w:rsidR="00513F4D" w:rsidRPr="0054358E" w:rsidRDefault="00513F4D">
            <w:pPr>
              <w:rPr>
                <w:b/>
                <w:bCs/>
                <w:sz w:val="20"/>
                <w:szCs w:val="20"/>
              </w:rPr>
            </w:pPr>
            <w:r w:rsidRPr="0054358E">
              <w:rPr>
                <w:b/>
                <w:bCs/>
                <w:sz w:val="20"/>
                <w:szCs w:val="20"/>
              </w:rPr>
              <w:t>Andamento del margine operativo lordo delle PMI, 2019-2021</w:t>
            </w:r>
          </w:p>
        </w:tc>
      </w:tr>
      <w:tr w:rsidR="0054358E" w:rsidRPr="00513F4D" w14:paraId="538098A7" w14:textId="77777777" w:rsidTr="00B0228C">
        <w:trPr>
          <w:trHeight w:val="290"/>
        </w:trPr>
        <w:tc>
          <w:tcPr>
            <w:tcW w:w="9628" w:type="dxa"/>
            <w:gridSpan w:val="6"/>
            <w:noWrap/>
            <w:hideMark/>
          </w:tcPr>
          <w:p w14:paraId="3A4A67E5" w14:textId="2433C329" w:rsidR="0054358E" w:rsidRPr="0054358E" w:rsidRDefault="0054358E">
            <w:pPr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variazioni percentuali</w:t>
            </w:r>
          </w:p>
        </w:tc>
      </w:tr>
      <w:tr w:rsidR="00513F4D" w:rsidRPr="00513F4D" w14:paraId="6338C17B" w14:textId="77777777" w:rsidTr="00513F4D">
        <w:trPr>
          <w:trHeight w:val="290"/>
        </w:trPr>
        <w:tc>
          <w:tcPr>
            <w:tcW w:w="2188" w:type="dxa"/>
            <w:noWrap/>
            <w:hideMark/>
          </w:tcPr>
          <w:p w14:paraId="0D364F54" w14:textId="77777777" w:rsidR="00513F4D" w:rsidRPr="00513F4D" w:rsidRDefault="00513F4D">
            <w:r w:rsidRPr="00513F4D">
              <w:t> </w:t>
            </w:r>
          </w:p>
        </w:tc>
        <w:tc>
          <w:tcPr>
            <w:tcW w:w="1488" w:type="dxa"/>
            <w:noWrap/>
            <w:hideMark/>
          </w:tcPr>
          <w:p w14:paraId="778DF4AC" w14:textId="77777777" w:rsidR="00513F4D" w:rsidRPr="0054358E" w:rsidRDefault="00513F4D" w:rsidP="00513F4D">
            <w:pPr>
              <w:rPr>
                <w:b/>
                <w:bCs/>
                <w:sz w:val="20"/>
                <w:szCs w:val="20"/>
              </w:rPr>
            </w:pPr>
            <w:r w:rsidRPr="0054358E">
              <w:rPr>
                <w:b/>
                <w:bCs/>
                <w:sz w:val="20"/>
                <w:szCs w:val="20"/>
              </w:rPr>
              <w:t>2019/2018</w:t>
            </w:r>
          </w:p>
        </w:tc>
        <w:tc>
          <w:tcPr>
            <w:tcW w:w="1488" w:type="dxa"/>
            <w:noWrap/>
            <w:hideMark/>
          </w:tcPr>
          <w:p w14:paraId="1BF05C4E" w14:textId="77777777" w:rsidR="00513F4D" w:rsidRPr="0054358E" w:rsidRDefault="00513F4D" w:rsidP="00513F4D">
            <w:pPr>
              <w:rPr>
                <w:b/>
                <w:bCs/>
                <w:sz w:val="20"/>
                <w:szCs w:val="20"/>
              </w:rPr>
            </w:pPr>
            <w:r w:rsidRPr="0054358E">
              <w:rPr>
                <w:b/>
                <w:bCs/>
                <w:sz w:val="20"/>
                <w:szCs w:val="20"/>
              </w:rPr>
              <w:t>2020/2019</w:t>
            </w:r>
          </w:p>
        </w:tc>
        <w:tc>
          <w:tcPr>
            <w:tcW w:w="1488" w:type="dxa"/>
            <w:noWrap/>
            <w:hideMark/>
          </w:tcPr>
          <w:p w14:paraId="6F11CC83" w14:textId="77777777" w:rsidR="00513F4D" w:rsidRPr="0054358E" w:rsidRDefault="00513F4D" w:rsidP="00513F4D">
            <w:pPr>
              <w:rPr>
                <w:b/>
                <w:bCs/>
                <w:sz w:val="20"/>
                <w:szCs w:val="20"/>
              </w:rPr>
            </w:pPr>
            <w:r w:rsidRPr="0054358E">
              <w:rPr>
                <w:b/>
                <w:bCs/>
                <w:sz w:val="20"/>
                <w:szCs w:val="20"/>
              </w:rPr>
              <w:t>2021/2020</w:t>
            </w:r>
          </w:p>
        </w:tc>
        <w:tc>
          <w:tcPr>
            <w:tcW w:w="1488" w:type="dxa"/>
            <w:noWrap/>
            <w:hideMark/>
          </w:tcPr>
          <w:p w14:paraId="18DFB5ED" w14:textId="77777777" w:rsidR="00513F4D" w:rsidRPr="0054358E" w:rsidRDefault="00513F4D" w:rsidP="00513F4D">
            <w:pPr>
              <w:rPr>
                <w:b/>
                <w:bCs/>
                <w:sz w:val="20"/>
                <w:szCs w:val="20"/>
              </w:rPr>
            </w:pPr>
            <w:r w:rsidRPr="0054358E">
              <w:rPr>
                <w:b/>
                <w:bCs/>
                <w:sz w:val="20"/>
                <w:szCs w:val="20"/>
              </w:rPr>
              <w:t>2021/2019</w:t>
            </w:r>
          </w:p>
        </w:tc>
        <w:tc>
          <w:tcPr>
            <w:tcW w:w="1488" w:type="dxa"/>
            <w:noWrap/>
            <w:hideMark/>
          </w:tcPr>
          <w:p w14:paraId="59531425" w14:textId="77777777" w:rsidR="00513F4D" w:rsidRPr="0054358E" w:rsidRDefault="00513F4D" w:rsidP="00513F4D">
            <w:pPr>
              <w:rPr>
                <w:b/>
                <w:bCs/>
                <w:sz w:val="20"/>
                <w:szCs w:val="20"/>
              </w:rPr>
            </w:pPr>
            <w:r w:rsidRPr="0054358E">
              <w:rPr>
                <w:b/>
                <w:bCs/>
                <w:sz w:val="20"/>
                <w:szCs w:val="20"/>
              </w:rPr>
              <w:t>2021/2007</w:t>
            </w:r>
          </w:p>
        </w:tc>
      </w:tr>
      <w:tr w:rsidR="00513F4D" w:rsidRPr="00513F4D" w14:paraId="5A9A7679" w14:textId="77777777" w:rsidTr="00513F4D">
        <w:trPr>
          <w:trHeight w:val="290"/>
        </w:trPr>
        <w:tc>
          <w:tcPr>
            <w:tcW w:w="2188" w:type="dxa"/>
            <w:noWrap/>
            <w:hideMark/>
          </w:tcPr>
          <w:p w14:paraId="1363770F" w14:textId="77777777" w:rsidR="00513F4D" w:rsidRPr="0054358E" w:rsidRDefault="00513F4D" w:rsidP="0054358E">
            <w:pPr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Italia</w:t>
            </w:r>
          </w:p>
        </w:tc>
        <w:tc>
          <w:tcPr>
            <w:tcW w:w="1488" w:type="dxa"/>
            <w:noWrap/>
            <w:hideMark/>
          </w:tcPr>
          <w:p w14:paraId="69DB3916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2,9%</w:t>
            </w:r>
          </w:p>
        </w:tc>
        <w:tc>
          <w:tcPr>
            <w:tcW w:w="1488" w:type="dxa"/>
            <w:noWrap/>
            <w:hideMark/>
          </w:tcPr>
          <w:p w14:paraId="1A29FB81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-39,0%</w:t>
            </w:r>
          </w:p>
        </w:tc>
        <w:tc>
          <w:tcPr>
            <w:tcW w:w="1488" w:type="dxa"/>
            <w:noWrap/>
            <w:hideMark/>
          </w:tcPr>
          <w:p w14:paraId="57A236AA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49,1%</w:t>
            </w:r>
          </w:p>
        </w:tc>
        <w:tc>
          <w:tcPr>
            <w:tcW w:w="1488" w:type="dxa"/>
            <w:noWrap/>
            <w:hideMark/>
          </w:tcPr>
          <w:p w14:paraId="0517F772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-9,0%</w:t>
            </w:r>
          </w:p>
        </w:tc>
        <w:tc>
          <w:tcPr>
            <w:tcW w:w="1488" w:type="dxa"/>
            <w:noWrap/>
            <w:hideMark/>
          </w:tcPr>
          <w:p w14:paraId="037C822C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-24,8%</w:t>
            </w:r>
          </w:p>
        </w:tc>
      </w:tr>
      <w:tr w:rsidR="00513F4D" w:rsidRPr="00513F4D" w14:paraId="7B2E48D5" w14:textId="77777777" w:rsidTr="00513F4D">
        <w:trPr>
          <w:trHeight w:val="290"/>
        </w:trPr>
        <w:tc>
          <w:tcPr>
            <w:tcW w:w="2188" w:type="dxa"/>
            <w:noWrap/>
            <w:hideMark/>
          </w:tcPr>
          <w:p w14:paraId="72BFEB67" w14:textId="77777777" w:rsidR="00513F4D" w:rsidRPr="0054358E" w:rsidRDefault="00513F4D" w:rsidP="0054358E">
            <w:pPr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Nord-Est</w:t>
            </w:r>
          </w:p>
        </w:tc>
        <w:tc>
          <w:tcPr>
            <w:tcW w:w="1488" w:type="dxa"/>
            <w:noWrap/>
            <w:hideMark/>
          </w:tcPr>
          <w:p w14:paraId="47B6BA64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1,9%</w:t>
            </w:r>
          </w:p>
        </w:tc>
        <w:tc>
          <w:tcPr>
            <w:tcW w:w="1488" w:type="dxa"/>
            <w:noWrap/>
            <w:hideMark/>
          </w:tcPr>
          <w:p w14:paraId="48195E6D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-38,4%</w:t>
            </w:r>
          </w:p>
        </w:tc>
        <w:tc>
          <w:tcPr>
            <w:tcW w:w="1488" w:type="dxa"/>
            <w:noWrap/>
            <w:hideMark/>
          </w:tcPr>
          <w:p w14:paraId="10485C1C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48,3%</w:t>
            </w:r>
          </w:p>
        </w:tc>
        <w:tc>
          <w:tcPr>
            <w:tcW w:w="1488" w:type="dxa"/>
            <w:noWrap/>
            <w:hideMark/>
          </w:tcPr>
          <w:p w14:paraId="43024FD9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-8,7%</w:t>
            </w:r>
          </w:p>
        </w:tc>
        <w:tc>
          <w:tcPr>
            <w:tcW w:w="1488" w:type="dxa"/>
            <w:noWrap/>
            <w:hideMark/>
          </w:tcPr>
          <w:p w14:paraId="4ABE2214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-18,2%</w:t>
            </w:r>
          </w:p>
        </w:tc>
      </w:tr>
      <w:tr w:rsidR="00513F4D" w:rsidRPr="00513F4D" w14:paraId="259D08EF" w14:textId="77777777" w:rsidTr="00513F4D">
        <w:trPr>
          <w:trHeight w:val="290"/>
        </w:trPr>
        <w:tc>
          <w:tcPr>
            <w:tcW w:w="2188" w:type="dxa"/>
            <w:noWrap/>
            <w:hideMark/>
          </w:tcPr>
          <w:p w14:paraId="072351FB" w14:textId="77777777" w:rsidR="00513F4D" w:rsidRPr="0054358E" w:rsidRDefault="00513F4D" w:rsidP="0054358E">
            <w:pPr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Nord-Ovest</w:t>
            </w:r>
          </w:p>
        </w:tc>
        <w:tc>
          <w:tcPr>
            <w:tcW w:w="1488" w:type="dxa"/>
            <w:noWrap/>
            <w:hideMark/>
          </w:tcPr>
          <w:p w14:paraId="710CCA18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2,1%</w:t>
            </w:r>
          </w:p>
        </w:tc>
        <w:tc>
          <w:tcPr>
            <w:tcW w:w="1488" w:type="dxa"/>
            <w:noWrap/>
            <w:hideMark/>
          </w:tcPr>
          <w:p w14:paraId="12B1F89A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-39,1%</w:t>
            </w:r>
          </w:p>
        </w:tc>
        <w:tc>
          <w:tcPr>
            <w:tcW w:w="1488" w:type="dxa"/>
            <w:noWrap/>
            <w:hideMark/>
          </w:tcPr>
          <w:p w14:paraId="509AE56A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49,7%</w:t>
            </w:r>
          </w:p>
        </w:tc>
        <w:tc>
          <w:tcPr>
            <w:tcW w:w="1488" w:type="dxa"/>
            <w:noWrap/>
            <w:hideMark/>
          </w:tcPr>
          <w:p w14:paraId="615FF98F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-8,8%</w:t>
            </w:r>
          </w:p>
        </w:tc>
        <w:tc>
          <w:tcPr>
            <w:tcW w:w="1488" w:type="dxa"/>
            <w:noWrap/>
            <w:hideMark/>
          </w:tcPr>
          <w:p w14:paraId="39F5CBED" w14:textId="77777777" w:rsidR="00513F4D" w:rsidRPr="0054358E" w:rsidRDefault="00513F4D" w:rsidP="0054358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-28,3%</w:t>
            </w:r>
          </w:p>
        </w:tc>
      </w:tr>
      <w:tr w:rsidR="00E12C4E" w:rsidRPr="00513F4D" w14:paraId="0E79103C" w14:textId="77777777" w:rsidTr="00513F4D">
        <w:trPr>
          <w:trHeight w:val="290"/>
        </w:trPr>
        <w:tc>
          <w:tcPr>
            <w:tcW w:w="2188" w:type="dxa"/>
            <w:noWrap/>
          </w:tcPr>
          <w:p w14:paraId="7202C883" w14:textId="46813A39" w:rsidR="00E12C4E" w:rsidRPr="00C821F4" w:rsidRDefault="00E12C4E" w:rsidP="00E12C4E">
            <w:pPr>
              <w:rPr>
                <w:sz w:val="18"/>
                <w:szCs w:val="18"/>
                <w:highlight w:val="green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Lombardia</w:t>
            </w:r>
          </w:p>
        </w:tc>
        <w:tc>
          <w:tcPr>
            <w:tcW w:w="1488" w:type="dxa"/>
            <w:noWrap/>
          </w:tcPr>
          <w:p w14:paraId="6FD3442C" w14:textId="66A36875" w:rsidR="00E12C4E" w:rsidRPr="00C821F4" w:rsidRDefault="00E12C4E" w:rsidP="00E12C4E">
            <w:pPr>
              <w:jc w:val="center"/>
              <w:rPr>
                <w:sz w:val="18"/>
                <w:szCs w:val="18"/>
                <w:highlight w:val="green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2,4%</w:t>
            </w:r>
          </w:p>
        </w:tc>
        <w:tc>
          <w:tcPr>
            <w:tcW w:w="1488" w:type="dxa"/>
            <w:noWrap/>
          </w:tcPr>
          <w:p w14:paraId="16EB2C1F" w14:textId="25EB42D9" w:rsidR="00E12C4E" w:rsidRPr="00C821F4" w:rsidRDefault="00E12C4E" w:rsidP="00E12C4E">
            <w:pPr>
              <w:jc w:val="center"/>
              <w:rPr>
                <w:sz w:val="18"/>
                <w:szCs w:val="18"/>
                <w:highlight w:val="green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-39,4%</w:t>
            </w:r>
          </w:p>
        </w:tc>
        <w:tc>
          <w:tcPr>
            <w:tcW w:w="1488" w:type="dxa"/>
            <w:noWrap/>
          </w:tcPr>
          <w:p w14:paraId="57085689" w14:textId="4D70395A" w:rsidR="00E12C4E" w:rsidRPr="00C821F4" w:rsidRDefault="00E12C4E" w:rsidP="00E12C4E">
            <w:pPr>
              <w:jc w:val="center"/>
              <w:rPr>
                <w:sz w:val="18"/>
                <w:szCs w:val="18"/>
                <w:highlight w:val="green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50,0%</w:t>
            </w:r>
          </w:p>
        </w:tc>
        <w:tc>
          <w:tcPr>
            <w:tcW w:w="1488" w:type="dxa"/>
            <w:noWrap/>
          </w:tcPr>
          <w:p w14:paraId="75ECA53A" w14:textId="65550636" w:rsidR="00E12C4E" w:rsidRPr="00C821F4" w:rsidRDefault="00E12C4E" w:rsidP="00E12C4E">
            <w:pPr>
              <w:jc w:val="center"/>
              <w:rPr>
                <w:sz w:val="18"/>
                <w:szCs w:val="18"/>
                <w:highlight w:val="green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-9,1%</w:t>
            </w:r>
          </w:p>
        </w:tc>
        <w:tc>
          <w:tcPr>
            <w:tcW w:w="1488" w:type="dxa"/>
            <w:noWrap/>
          </w:tcPr>
          <w:p w14:paraId="128B8BA6" w14:textId="09DC41A1" w:rsidR="00E12C4E" w:rsidRPr="00C821F4" w:rsidRDefault="00E12C4E" w:rsidP="00E12C4E">
            <w:pPr>
              <w:jc w:val="center"/>
              <w:rPr>
                <w:sz w:val="18"/>
                <w:szCs w:val="18"/>
                <w:highlight w:val="green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-29,9%</w:t>
            </w:r>
          </w:p>
        </w:tc>
      </w:tr>
      <w:tr w:rsidR="00E12C4E" w:rsidRPr="00513F4D" w14:paraId="0A6842A1" w14:textId="77777777" w:rsidTr="00513F4D">
        <w:trPr>
          <w:trHeight w:val="290"/>
        </w:trPr>
        <w:tc>
          <w:tcPr>
            <w:tcW w:w="2188" w:type="dxa"/>
            <w:noWrap/>
            <w:hideMark/>
          </w:tcPr>
          <w:p w14:paraId="146C7764" w14:textId="77777777" w:rsidR="00E12C4E" w:rsidRPr="0054358E" w:rsidRDefault="00E12C4E" w:rsidP="00E12C4E">
            <w:pPr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Centro</w:t>
            </w:r>
          </w:p>
        </w:tc>
        <w:tc>
          <w:tcPr>
            <w:tcW w:w="1488" w:type="dxa"/>
            <w:noWrap/>
            <w:hideMark/>
          </w:tcPr>
          <w:p w14:paraId="202D0482" w14:textId="77777777" w:rsidR="00E12C4E" w:rsidRPr="0054358E" w:rsidRDefault="00E12C4E" w:rsidP="00E12C4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4,7%</w:t>
            </w:r>
          </w:p>
        </w:tc>
        <w:tc>
          <w:tcPr>
            <w:tcW w:w="1488" w:type="dxa"/>
            <w:noWrap/>
            <w:hideMark/>
          </w:tcPr>
          <w:p w14:paraId="7A12A625" w14:textId="77777777" w:rsidR="00E12C4E" w:rsidRPr="0054358E" w:rsidRDefault="00E12C4E" w:rsidP="00E12C4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-41,8%</w:t>
            </w:r>
          </w:p>
        </w:tc>
        <w:tc>
          <w:tcPr>
            <w:tcW w:w="1488" w:type="dxa"/>
            <w:noWrap/>
            <w:hideMark/>
          </w:tcPr>
          <w:p w14:paraId="387CDF1D" w14:textId="77777777" w:rsidR="00E12C4E" w:rsidRPr="0054358E" w:rsidRDefault="00E12C4E" w:rsidP="00E12C4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53,7%</w:t>
            </w:r>
          </w:p>
        </w:tc>
        <w:tc>
          <w:tcPr>
            <w:tcW w:w="1488" w:type="dxa"/>
            <w:noWrap/>
            <w:hideMark/>
          </w:tcPr>
          <w:p w14:paraId="2988372D" w14:textId="77777777" w:rsidR="00E12C4E" w:rsidRPr="0054358E" w:rsidRDefault="00E12C4E" w:rsidP="00E12C4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-10,5%</w:t>
            </w:r>
          </w:p>
        </w:tc>
        <w:tc>
          <w:tcPr>
            <w:tcW w:w="1488" w:type="dxa"/>
            <w:noWrap/>
            <w:hideMark/>
          </w:tcPr>
          <w:p w14:paraId="69B97271" w14:textId="77777777" w:rsidR="00E12C4E" w:rsidRPr="0054358E" w:rsidRDefault="00E12C4E" w:rsidP="00E12C4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-40,8%</w:t>
            </w:r>
          </w:p>
        </w:tc>
      </w:tr>
      <w:tr w:rsidR="00E12C4E" w:rsidRPr="00513F4D" w14:paraId="650C8FF5" w14:textId="77777777" w:rsidTr="00513F4D">
        <w:trPr>
          <w:trHeight w:val="300"/>
        </w:trPr>
        <w:tc>
          <w:tcPr>
            <w:tcW w:w="2188" w:type="dxa"/>
            <w:noWrap/>
            <w:hideMark/>
          </w:tcPr>
          <w:p w14:paraId="5CD0CB57" w14:textId="77777777" w:rsidR="00E12C4E" w:rsidRPr="0054358E" w:rsidRDefault="00E12C4E" w:rsidP="00E12C4E">
            <w:pPr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Mezzogiorno</w:t>
            </w:r>
          </w:p>
        </w:tc>
        <w:tc>
          <w:tcPr>
            <w:tcW w:w="1488" w:type="dxa"/>
            <w:noWrap/>
            <w:hideMark/>
          </w:tcPr>
          <w:p w14:paraId="5115B2EE" w14:textId="77777777" w:rsidR="00E12C4E" w:rsidRPr="0054358E" w:rsidRDefault="00E12C4E" w:rsidP="00E12C4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4,9%</w:t>
            </w:r>
          </w:p>
        </w:tc>
        <w:tc>
          <w:tcPr>
            <w:tcW w:w="1488" w:type="dxa"/>
            <w:noWrap/>
            <w:hideMark/>
          </w:tcPr>
          <w:p w14:paraId="487E24A2" w14:textId="77777777" w:rsidR="00E12C4E" w:rsidRPr="0054358E" w:rsidRDefault="00E12C4E" w:rsidP="00E12C4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-36,6%</w:t>
            </w:r>
          </w:p>
        </w:tc>
        <w:tc>
          <w:tcPr>
            <w:tcW w:w="1488" w:type="dxa"/>
            <w:noWrap/>
            <w:hideMark/>
          </w:tcPr>
          <w:p w14:paraId="2A504254" w14:textId="77777777" w:rsidR="00E12C4E" w:rsidRPr="0054358E" w:rsidRDefault="00E12C4E" w:rsidP="00E12C4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44,2%</w:t>
            </w:r>
          </w:p>
        </w:tc>
        <w:tc>
          <w:tcPr>
            <w:tcW w:w="1488" w:type="dxa"/>
            <w:noWrap/>
            <w:hideMark/>
          </w:tcPr>
          <w:p w14:paraId="640D646F" w14:textId="77777777" w:rsidR="00E12C4E" w:rsidRPr="0054358E" w:rsidRDefault="00E12C4E" w:rsidP="00E12C4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-8,6%</w:t>
            </w:r>
          </w:p>
        </w:tc>
        <w:tc>
          <w:tcPr>
            <w:tcW w:w="1488" w:type="dxa"/>
            <w:noWrap/>
            <w:hideMark/>
          </w:tcPr>
          <w:p w14:paraId="70D2E0F2" w14:textId="77777777" w:rsidR="00E12C4E" w:rsidRPr="0054358E" w:rsidRDefault="00E12C4E" w:rsidP="00E12C4E">
            <w:pPr>
              <w:jc w:val="center"/>
              <w:rPr>
                <w:sz w:val="18"/>
                <w:szCs w:val="18"/>
              </w:rPr>
            </w:pPr>
            <w:r w:rsidRPr="0054358E">
              <w:rPr>
                <w:sz w:val="18"/>
                <w:szCs w:val="18"/>
              </w:rPr>
              <w:t>-34,9%</w:t>
            </w:r>
          </w:p>
        </w:tc>
      </w:tr>
    </w:tbl>
    <w:p w14:paraId="42A7E943" w14:textId="0E18F764" w:rsidR="00513F4D" w:rsidRDefault="00513F4D"/>
    <w:p w14:paraId="6314FE39" w14:textId="77777777" w:rsidR="00E96A6C" w:rsidRPr="00E96A6C" w:rsidRDefault="00E96A6C" w:rsidP="00E96A6C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E96A6C">
        <w:rPr>
          <w:rFonts w:ascii="Calibri" w:eastAsia="Calibri" w:hAnsi="Calibri" w:cs="Times New Roman"/>
          <w:sz w:val="20"/>
          <w:szCs w:val="20"/>
        </w:rPr>
        <w:t xml:space="preserve">Lo shock generato dal Covid-19 avrà un forte impatto sull’andamento del MOL delle PMI italiane, che già aveva subito una marcata contrazione durante la precedente fase di recessione e stagnazione. Il calo complessivo previsto per il 2020 è del 39%, seguito da un rimbalzo nel 2021 (49,1%), che non basterà comunque a recuperare i livelli </w:t>
      </w:r>
      <w:proofErr w:type="spellStart"/>
      <w:proofErr w:type="gramStart"/>
      <w:r w:rsidRPr="00E96A6C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E96A6C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E96A6C">
        <w:rPr>
          <w:rFonts w:ascii="Calibri" w:eastAsia="Calibri" w:hAnsi="Calibri" w:cs="Times New Roman"/>
          <w:sz w:val="20"/>
          <w:szCs w:val="20"/>
        </w:rPr>
        <w:t>Covid</w:t>
      </w:r>
      <w:proofErr w:type="spellEnd"/>
      <w:proofErr w:type="gramEnd"/>
      <w:r w:rsidRPr="00E96A6C">
        <w:rPr>
          <w:rFonts w:ascii="Calibri" w:eastAsia="Calibri" w:hAnsi="Calibri" w:cs="Times New Roman"/>
          <w:sz w:val="20"/>
          <w:szCs w:val="20"/>
        </w:rPr>
        <w:t>- (-9% tra 2021 e 2019).</w:t>
      </w:r>
    </w:p>
    <w:p w14:paraId="3769B064" w14:textId="77777777" w:rsidR="00E96A6C" w:rsidRPr="00E96A6C" w:rsidRDefault="00E96A6C" w:rsidP="00E96A6C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E96A6C">
        <w:rPr>
          <w:rFonts w:ascii="Calibri" w:eastAsia="Calibri" w:hAnsi="Calibri" w:cs="Times New Roman"/>
          <w:sz w:val="20"/>
          <w:szCs w:val="20"/>
        </w:rPr>
        <w:t xml:space="preserve">Il calo del MOL sarà particolarmente accentuato nel Centro (-41,8%), con una contrazione al termine del periodo di previsione rispetto ai livelli </w:t>
      </w:r>
      <w:proofErr w:type="spellStart"/>
      <w:proofErr w:type="gramStart"/>
      <w:r w:rsidRPr="00E96A6C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E96A6C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E96A6C">
        <w:rPr>
          <w:rFonts w:ascii="Calibri" w:eastAsia="Calibri" w:hAnsi="Calibri" w:cs="Times New Roman"/>
          <w:sz w:val="20"/>
          <w:szCs w:val="20"/>
        </w:rPr>
        <w:t>Covid</w:t>
      </w:r>
      <w:proofErr w:type="spellEnd"/>
      <w:proofErr w:type="gramEnd"/>
      <w:r w:rsidRPr="00E96A6C">
        <w:rPr>
          <w:rFonts w:ascii="Calibri" w:eastAsia="Calibri" w:hAnsi="Calibri" w:cs="Times New Roman"/>
          <w:sz w:val="20"/>
          <w:szCs w:val="20"/>
        </w:rPr>
        <w:t xml:space="preserve"> del 10,5%. Nel Nord-Ovest la riduzione del margine operativo lordo fatta registrare nel 2020 è del 39,1% (-8,8% nel 2021 vs 2019), nel Nord-Est del 38,4% (-8,7% nel 2021 vs 2019) e nel Mezzogiorno del 36,6% (-8,6% nel 2021 vs 2019).</w:t>
      </w:r>
    </w:p>
    <w:p w14:paraId="6E9D1444" w14:textId="77777777" w:rsidR="00E96A6C" w:rsidRPr="00E96A6C" w:rsidRDefault="00E96A6C" w:rsidP="00E96A6C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E96A6C">
        <w:rPr>
          <w:rFonts w:ascii="Calibri" w:eastAsia="Calibri" w:hAnsi="Calibri" w:cs="Times New Roman"/>
          <w:sz w:val="20"/>
          <w:szCs w:val="20"/>
        </w:rPr>
        <w:t xml:space="preserve">Lo shock del 2020 contribuisce ad aggravare l’andamento di lungo periodo del MOL che, in base alle ultime annualità di bilancio disponibili, non aveva ancora recuperato i livelli del 2007. Al termine del periodo di previsione il </w:t>
      </w:r>
      <w:proofErr w:type="gramStart"/>
      <w:r w:rsidRPr="00E96A6C">
        <w:rPr>
          <w:rFonts w:ascii="Calibri" w:eastAsia="Calibri" w:hAnsi="Calibri" w:cs="Times New Roman"/>
          <w:sz w:val="20"/>
          <w:szCs w:val="20"/>
        </w:rPr>
        <w:t>gap</w:t>
      </w:r>
      <w:proofErr w:type="gramEnd"/>
      <w:r w:rsidRPr="00E96A6C">
        <w:rPr>
          <w:rFonts w:ascii="Calibri" w:eastAsia="Calibri" w:hAnsi="Calibri" w:cs="Times New Roman"/>
          <w:sz w:val="20"/>
          <w:szCs w:val="20"/>
        </w:rPr>
        <w:t xml:space="preserve"> rispetto al 2007 si attesterà a livello nazionale al 24,8%, con divari particolarmente accentuati al Centro (-40,8% rispetto al 2007) e nel Mezzogiorno (-34,9%) e relativamente più contenuti nel Nord-Ovest (-28,3%) e nel Nord-Est (-18,2%).</w:t>
      </w:r>
    </w:p>
    <w:p w14:paraId="5382E50A" w14:textId="5F99A226" w:rsidR="00513F4D" w:rsidRDefault="00513F4D"/>
    <w:tbl>
      <w:tblPr>
        <w:tblStyle w:val="Grigliatabellachiara"/>
        <w:tblW w:w="5000" w:type="pct"/>
        <w:tblLook w:val="04A0" w:firstRow="1" w:lastRow="0" w:firstColumn="1" w:lastColumn="0" w:noHBand="0" w:noVBand="1"/>
      </w:tblPr>
      <w:tblGrid>
        <w:gridCol w:w="4042"/>
        <w:gridCol w:w="1569"/>
        <w:gridCol w:w="1286"/>
        <w:gridCol w:w="1450"/>
        <w:gridCol w:w="1281"/>
      </w:tblGrid>
      <w:tr w:rsidR="00513F4D" w:rsidRPr="00513F4D" w14:paraId="3152D098" w14:textId="77777777" w:rsidTr="00513F4D">
        <w:trPr>
          <w:trHeight w:val="290"/>
        </w:trPr>
        <w:tc>
          <w:tcPr>
            <w:tcW w:w="5000" w:type="pct"/>
            <w:gridSpan w:val="5"/>
            <w:noWrap/>
            <w:hideMark/>
          </w:tcPr>
          <w:p w14:paraId="24000F2C" w14:textId="6999C5D8" w:rsidR="00513F4D" w:rsidRPr="00513F4D" w:rsidRDefault="00513F4D" w:rsidP="00513F4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Andamento del ROE ante imposte e gestione straordinaria delle PMI, 2018-2021</w:t>
            </w:r>
          </w:p>
        </w:tc>
      </w:tr>
      <w:tr w:rsidR="00513F4D" w:rsidRPr="00513F4D" w14:paraId="2DB5CDB0" w14:textId="77777777" w:rsidTr="001C4E4D">
        <w:trPr>
          <w:trHeight w:val="290"/>
        </w:trPr>
        <w:tc>
          <w:tcPr>
            <w:tcW w:w="2099" w:type="pct"/>
            <w:noWrap/>
            <w:hideMark/>
          </w:tcPr>
          <w:p w14:paraId="6C7C7BBD" w14:textId="77777777" w:rsidR="00513F4D" w:rsidRPr="00513F4D" w:rsidRDefault="00513F4D" w:rsidP="00513F4D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15" w:type="pct"/>
            <w:noWrap/>
            <w:hideMark/>
          </w:tcPr>
          <w:p w14:paraId="7EA3FE7D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2018</w:t>
            </w:r>
          </w:p>
        </w:tc>
        <w:tc>
          <w:tcPr>
            <w:tcW w:w="668" w:type="pct"/>
            <w:noWrap/>
            <w:hideMark/>
          </w:tcPr>
          <w:p w14:paraId="7466F2EC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753" w:type="pct"/>
            <w:noWrap/>
            <w:hideMark/>
          </w:tcPr>
          <w:p w14:paraId="2C824F22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2020</w:t>
            </w:r>
          </w:p>
        </w:tc>
        <w:tc>
          <w:tcPr>
            <w:tcW w:w="665" w:type="pct"/>
            <w:noWrap/>
            <w:hideMark/>
          </w:tcPr>
          <w:p w14:paraId="1E228785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2021</w:t>
            </w:r>
          </w:p>
        </w:tc>
      </w:tr>
      <w:tr w:rsidR="00513F4D" w:rsidRPr="00513F4D" w14:paraId="59025BF3" w14:textId="77777777" w:rsidTr="001C4E4D">
        <w:trPr>
          <w:trHeight w:val="290"/>
        </w:trPr>
        <w:tc>
          <w:tcPr>
            <w:tcW w:w="2099" w:type="pct"/>
            <w:noWrap/>
            <w:hideMark/>
          </w:tcPr>
          <w:p w14:paraId="32A0A0A5" w14:textId="77777777" w:rsidR="00513F4D" w:rsidRPr="00513F4D" w:rsidRDefault="00513F4D" w:rsidP="00513F4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815" w:type="pct"/>
            <w:noWrap/>
            <w:hideMark/>
          </w:tcPr>
          <w:p w14:paraId="573FAD43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11,0%</w:t>
            </w:r>
          </w:p>
        </w:tc>
        <w:tc>
          <w:tcPr>
            <w:tcW w:w="668" w:type="pct"/>
            <w:noWrap/>
            <w:hideMark/>
          </w:tcPr>
          <w:p w14:paraId="40E6BC94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9,3%</w:t>
            </w:r>
          </w:p>
        </w:tc>
        <w:tc>
          <w:tcPr>
            <w:tcW w:w="753" w:type="pct"/>
            <w:noWrap/>
            <w:hideMark/>
          </w:tcPr>
          <w:p w14:paraId="6EDD606A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-1,9%</w:t>
            </w:r>
          </w:p>
        </w:tc>
        <w:tc>
          <w:tcPr>
            <w:tcW w:w="665" w:type="pct"/>
            <w:noWrap/>
            <w:hideMark/>
          </w:tcPr>
          <w:p w14:paraId="3DC8BCDE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6,2%</w:t>
            </w:r>
          </w:p>
        </w:tc>
      </w:tr>
      <w:tr w:rsidR="00513F4D" w:rsidRPr="00513F4D" w14:paraId="7CCC607C" w14:textId="77777777" w:rsidTr="001C4E4D">
        <w:trPr>
          <w:trHeight w:val="290"/>
        </w:trPr>
        <w:tc>
          <w:tcPr>
            <w:tcW w:w="2099" w:type="pct"/>
            <w:noWrap/>
            <w:hideMark/>
          </w:tcPr>
          <w:p w14:paraId="4A8E682C" w14:textId="77777777" w:rsidR="00513F4D" w:rsidRPr="00513F4D" w:rsidRDefault="00513F4D" w:rsidP="00513F4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815" w:type="pct"/>
            <w:noWrap/>
            <w:hideMark/>
          </w:tcPr>
          <w:p w14:paraId="543F333B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11,5%</w:t>
            </w:r>
          </w:p>
        </w:tc>
        <w:tc>
          <w:tcPr>
            <w:tcW w:w="668" w:type="pct"/>
            <w:noWrap/>
            <w:hideMark/>
          </w:tcPr>
          <w:p w14:paraId="179D30B5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9,6%</w:t>
            </w:r>
          </w:p>
        </w:tc>
        <w:tc>
          <w:tcPr>
            <w:tcW w:w="753" w:type="pct"/>
            <w:noWrap/>
            <w:hideMark/>
          </w:tcPr>
          <w:p w14:paraId="0462542B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-1,0%</w:t>
            </w:r>
          </w:p>
        </w:tc>
        <w:tc>
          <w:tcPr>
            <w:tcW w:w="665" w:type="pct"/>
            <w:noWrap/>
            <w:hideMark/>
          </w:tcPr>
          <w:p w14:paraId="4B43A2E1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6,7%</w:t>
            </w:r>
          </w:p>
        </w:tc>
      </w:tr>
      <w:tr w:rsidR="00513F4D" w:rsidRPr="00513F4D" w14:paraId="433F6711" w14:textId="77777777" w:rsidTr="001C4E4D">
        <w:trPr>
          <w:trHeight w:val="290"/>
        </w:trPr>
        <w:tc>
          <w:tcPr>
            <w:tcW w:w="2099" w:type="pct"/>
            <w:noWrap/>
            <w:hideMark/>
          </w:tcPr>
          <w:p w14:paraId="55A439BD" w14:textId="77777777" w:rsidR="00513F4D" w:rsidRPr="00513F4D" w:rsidRDefault="00513F4D" w:rsidP="00513F4D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815" w:type="pct"/>
            <w:noWrap/>
            <w:hideMark/>
          </w:tcPr>
          <w:p w14:paraId="1847F2BC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11,4%</w:t>
            </w:r>
          </w:p>
        </w:tc>
        <w:tc>
          <w:tcPr>
            <w:tcW w:w="668" w:type="pct"/>
            <w:noWrap/>
            <w:hideMark/>
          </w:tcPr>
          <w:p w14:paraId="1B37DF6E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9,6%</w:t>
            </w:r>
          </w:p>
        </w:tc>
        <w:tc>
          <w:tcPr>
            <w:tcW w:w="753" w:type="pct"/>
            <w:noWrap/>
            <w:hideMark/>
          </w:tcPr>
          <w:p w14:paraId="49833D3A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-1,0%</w:t>
            </w:r>
          </w:p>
        </w:tc>
        <w:tc>
          <w:tcPr>
            <w:tcW w:w="665" w:type="pct"/>
            <w:noWrap/>
            <w:hideMark/>
          </w:tcPr>
          <w:p w14:paraId="4AD0B1BC" w14:textId="77777777" w:rsidR="00513F4D" w:rsidRPr="00513F4D" w:rsidRDefault="00513F4D" w:rsidP="00513F4D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6,8%</w:t>
            </w:r>
          </w:p>
        </w:tc>
      </w:tr>
      <w:tr w:rsidR="00E12C4E" w:rsidRPr="00513F4D" w14:paraId="68AE96EF" w14:textId="77777777" w:rsidTr="001C4E4D">
        <w:trPr>
          <w:trHeight w:val="290"/>
        </w:trPr>
        <w:tc>
          <w:tcPr>
            <w:tcW w:w="2099" w:type="pct"/>
            <w:noWrap/>
          </w:tcPr>
          <w:p w14:paraId="4CA0711A" w14:textId="5AF1F3A0" w:rsidR="00E12C4E" w:rsidRPr="00C821F4" w:rsidRDefault="00E12C4E" w:rsidP="00E12C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green"/>
                <w:lang w:eastAsia="it-IT"/>
              </w:rPr>
              <w:t>Lombardia</w:t>
            </w:r>
          </w:p>
        </w:tc>
        <w:tc>
          <w:tcPr>
            <w:tcW w:w="815" w:type="pct"/>
            <w:noWrap/>
          </w:tcPr>
          <w:p w14:paraId="421FE1F0" w14:textId="0F1C1EF1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11,6%</w:t>
            </w:r>
          </w:p>
        </w:tc>
        <w:tc>
          <w:tcPr>
            <w:tcW w:w="668" w:type="pct"/>
            <w:noWrap/>
          </w:tcPr>
          <w:p w14:paraId="5C2B98D1" w14:textId="44DBB78D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9,7%</w:t>
            </w:r>
          </w:p>
        </w:tc>
        <w:tc>
          <w:tcPr>
            <w:tcW w:w="753" w:type="pct"/>
            <w:noWrap/>
          </w:tcPr>
          <w:p w14:paraId="0F926198" w14:textId="3C1D784F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-0,9%</w:t>
            </w:r>
          </w:p>
        </w:tc>
        <w:tc>
          <w:tcPr>
            <w:tcW w:w="665" w:type="pct"/>
            <w:noWrap/>
          </w:tcPr>
          <w:p w14:paraId="7DB6CB9F" w14:textId="519D519B" w:rsidR="00E12C4E" w:rsidRPr="00C821F4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6,8%</w:t>
            </w:r>
          </w:p>
        </w:tc>
      </w:tr>
      <w:tr w:rsidR="00E12C4E" w:rsidRPr="00513F4D" w14:paraId="2C998FF4" w14:textId="77777777" w:rsidTr="001C4E4D">
        <w:trPr>
          <w:trHeight w:val="290"/>
        </w:trPr>
        <w:tc>
          <w:tcPr>
            <w:tcW w:w="2099" w:type="pct"/>
            <w:noWrap/>
            <w:hideMark/>
          </w:tcPr>
          <w:p w14:paraId="7261D4FC" w14:textId="77777777" w:rsidR="00E12C4E" w:rsidRPr="00513F4D" w:rsidRDefault="00E12C4E" w:rsidP="00E12C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815" w:type="pct"/>
            <w:noWrap/>
            <w:hideMark/>
          </w:tcPr>
          <w:p w14:paraId="2E34B146" w14:textId="77777777" w:rsidR="00E12C4E" w:rsidRPr="00513F4D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10,3%</w:t>
            </w:r>
          </w:p>
        </w:tc>
        <w:tc>
          <w:tcPr>
            <w:tcW w:w="668" w:type="pct"/>
            <w:noWrap/>
            <w:hideMark/>
          </w:tcPr>
          <w:p w14:paraId="3681894C" w14:textId="77777777" w:rsidR="00E12C4E" w:rsidRPr="00513F4D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8,7%</w:t>
            </w:r>
          </w:p>
        </w:tc>
        <w:tc>
          <w:tcPr>
            <w:tcW w:w="753" w:type="pct"/>
            <w:noWrap/>
            <w:hideMark/>
          </w:tcPr>
          <w:p w14:paraId="227CEB4C" w14:textId="77777777" w:rsidR="00E12C4E" w:rsidRPr="00513F4D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-4,8%</w:t>
            </w:r>
          </w:p>
        </w:tc>
        <w:tc>
          <w:tcPr>
            <w:tcW w:w="665" w:type="pct"/>
            <w:noWrap/>
            <w:hideMark/>
          </w:tcPr>
          <w:p w14:paraId="2D5B8F6A" w14:textId="77777777" w:rsidR="00E12C4E" w:rsidRPr="00513F4D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5,0%</w:t>
            </w:r>
          </w:p>
        </w:tc>
      </w:tr>
      <w:tr w:rsidR="00E12C4E" w:rsidRPr="00513F4D" w14:paraId="7793F74B" w14:textId="77777777" w:rsidTr="001C4E4D">
        <w:trPr>
          <w:trHeight w:val="300"/>
        </w:trPr>
        <w:tc>
          <w:tcPr>
            <w:tcW w:w="2099" w:type="pct"/>
            <w:noWrap/>
            <w:hideMark/>
          </w:tcPr>
          <w:p w14:paraId="1A345132" w14:textId="77777777" w:rsidR="00E12C4E" w:rsidRPr="00513F4D" w:rsidRDefault="00E12C4E" w:rsidP="00E12C4E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815" w:type="pct"/>
            <w:noWrap/>
            <w:hideMark/>
          </w:tcPr>
          <w:p w14:paraId="641B9E90" w14:textId="77777777" w:rsidR="00E12C4E" w:rsidRPr="00513F4D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9,8%</w:t>
            </w:r>
          </w:p>
        </w:tc>
        <w:tc>
          <w:tcPr>
            <w:tcW w:w="668" w:type="pct"/>
            <w:noWrap/>
            <w:hideMark/>
          </w:tcPr>
          <w:p w14:paraId="129EEB62" w14:textId="77777777" w:rsidR="00E12C4E" w:rsidRPr="00513F4D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8,1%</w:t>
            </w:r>
          </w:p>
        </w:tc>
        <w:tc>
          <w:tcPr>
            <w:tcW w:w="753" w:type="pct"/>
            <w:noWrap/>
            <w:hideMark/>
          </w:tcPr>
          <w:p w14:paraId="75B8C5BF" w14:textId="77777777" w:rsidR="00E12C4E" w:rsidRPr="00513F4D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-3,1%</w:t>
            </w:r>
          </w:p>
        </w:tc>
        <w:tc>
          <w:tcPr>
            <w:tcW w:w="665" w:type="pct"/>
            <w:noWrap/>
            <w:hideMark/>
          </w:tcPr>
          <w:p w14:paraId="4C87249A" w14:textId="77777777" w:rsidR="00E12C4E" w:rsidRPr="00513F4D" w:rsidRDefault="00E12C4E" w:rsidP="00E12C4E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5,0%</w:t>
            </w:r>
          </w:p>
        </w:tc>
      </w:tr>
    </w:tbl>
    <w:p w14:paraId="23EE6CC4" w14:textId="74D7D64D" w:rsidR="00513F4D" w:rsidRDefault="00513F4D"/>
    <w:p w14:paraId="65409C8A" w14:textId="77777777" w:rsidR="00E96A6C" w:rsidRPr="006B2E5C" w:rsidRDefault="00E96A6C" w:rsidP="00E96A6C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6B2E5C">
        <w:rPr>
          <w:rFonts w:ascii="Calibri" w:eastAsia="Calibri" w:hAnsi="Calibri" w:cs="Times New Roman"/>
          <w:sz w:val="20"/>
          <w:szCs w:val="20"/>
        </w:rPr>
        <w:t xml:space="preserve">Le stime relative ai bilanci del 2019 indicano che la redditività netta delle PMI aveva iniziato a contrarsi già prima del </w:t>
      </w:r>
      <w:proofErr w:type="spellStart"/>
      <w:r w:rsidRPr="006B2E5C">
        <w:rPr>
          <w:rFonts w:ascii="Calibri" w:eastAsia="Calibri" w:hAnsi="Calibri" w:cs="Times New Roman"/>
          <w:sz w:val="20"/>
          <w:szCs w:val="20"/>
        </w:rPr>
        <w:t>Covid</w:t>
      </w:r>
      <w:proofErr w:type="spellEnd"/>
      <w:r w:rsidRPr="006B2E5C">
        <w:rPr>
          <w:rFonts w:ascii="Calibri" w:eastAsia="Calibri" w:hAnsi="Calibri" w:cs="Times New Roman"/>
          <w:sz w:val="20"/>
          <w:szCs w:val="20"/>
        </w:rPr>
        <w:t>: il ROE è in calo dall’11% al 9,3%, con cali in tutta la Penisola e in tutte le regioni analizzate.</w:t>
      </w:r>
    </w:p>
    <w:p w14:paraId="17454C00" w14:textId="51801A43" w:rsidR="00513F4D" w:rsidRPr="006B2E5C" w:rsidRDefault="00E96A6C" w:rsidP="00E96A6C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6B2E5C">
        <w:rPr>
          <w:rFonts w:ascii="Calibri" w:eastAsia="Calibri" w:hAnsi="Calibri" w:cs="Times New Roman"/>
          <w:sz w:val="20"/>
          <w:szCs w:val="20"/>
        </w:rPr>
        <w:lastRenderedPageBreak/>
        <w:t xml:space="preserve">Per effetto del crollo delle vendite causato dal Covid-19, si prevede per il 2020 un ROE in territorio negativo per le PMI (-1,9%), con gli indici più bassi fatti registrare nel Centro (-4,8%) e nel Sud Italia (-3,1%) rispetto al Nord-Ovest e al Nord-Est (-1%), che partivano da situazioni migliori.  Nel 2021 la redditività netta si riporterà su valori positivi, anche se a livelli più bassi rispetto al </w:t>
      </w:r>
      <w:proofErr w:type="spellStart"/>
      <w:proofErr w:type="gramStart"/>
      <w:r w:rsidRPr="006B2E5C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6B2E5C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Pr="006B2E5C">
        <w:rPr>
          <w:rFonts w:ascii="Calibri" w:eastAsia="Calibri" w:hAnsi="Calibri" w:cs="Times New Roman"/>
          <w:sz w:val="20"/>
          <w:szCs w:val="20"/>
        </w:rPr>
        <w:t>Covid</w:t>
      </w:r>
      <w:proofErr w:type="spellEnd"/>
      <w:proofErr w:type="gramEnd"/>
      <w:r w:rsidRPr="006B2E5C">
        <w:rPr>
          <w:rFonts w:ascii="Calibri" w:eastAsia="Calibri" w:hAnsi="Calibri" w:cs="Times New Roman"/>
          <w:sz w:val="20"/>
          <w:szCs w:val="20"/>
        </w:rPr>
        <w:t>, facendo registrare valori del 6,2% a livello nazionale, del 6,8% nel Nord-Ovest, del 6,7% nel Nord-Est e del 5% nel Centro e nel Mezzogiorno.</w:t>
      </w:r>
    </w:p>
    <w:p w14:paraId="728D0130" w14:textId="77777777" w:rsidR="00513F4D" w:rsidRDefault="00513F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667"/>
        <w:gridCol w:w="667"/>
        <w:gridCol w:w="678"/>
        <w:gridCol w:w="668"/>
        <w:gridCol w:w="666"/>
        <w:gridCol w:w="666"/>
        <w:gridCol w:w="666"/>
        <w:gridCol w:w="668"/>
        <w:gridCol w:w="666"/>
        <w:gridCol w:w="662"/>
        <w:gridCol w:w="668"/>
        <w:gridCol w:w="641"/>
      </w:tblGrid>
      <w:tr w:rsidR="00437291" w:rsidRPr="00513F4D" w14:paraId="09A746B0" w14:textId="18E15E6E" w:rsidTr="00437291">
        <w:trPr>
          <w:trHeight w:val="416"/>
        </w:trPr>
        <w:tc>
          <w:tcPr>
            <w:tcW w:w="5000" w:type="pct"/>
            <w:gridSpan w:val="13"/>
            <w:shd w:val="clear" w:color="auto" w:fill="auto"/>
            <w:noWrap/>
            <w:vAlign w:val="bottom"/>
            <w:hideMark/>
          </w:tcPr>
          <w:p w14:paraId="18F05BBC" w14:textId="076C5CFC" w:rsidR="00437291" w:rsidRPr="00513F4D" w:rsidRDefault="00437291" w:rsidP="00513F4D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bookmarkStart w:id="1" w:name="_Hlk45271648"/>
            <w:r w:rsidRPr="00513F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Impatti del Covid-19 sul rischio di default delle PM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I</w:t>
            </w:r>
          </w:p>
        </w:tc>
      </w:tr>
      <w:tr w:rsidR="00437291" w:rsidRPr="00513F4D" w14:paraId="6B01C1B3" w14:textId="57FBF07F" w:rsidTr="00437291">
        <w:trPr>
          <w:trHeight w:val="300"/>
        </w:trPr>
        <w:tc>
          <w:tcPr>
            <w:tcW w:w="5000" w:type="pct"/>
            <w:gridSpan w:val="13"/>
            <w:shd w:val="clear" w:color="auto" w:fill="auto"/>
            <w:noWrap/>
            <w:vAlign w:val="bottom"/>
            <w:hideMark/>
          </w:tcPr>
          <w:p w14:paraId="774610A0" w14:textId="4DD4750C" w:rsidR="00437291" w:rsidRPr="00513F4D" w:rsidRDefault="00437291" w:rsidP="00513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Distribuzione imprese per Cerved Group Score</w:t>
            </w:r>
          </w:p>
        </w:tc>
      </w:tr>
      <w:tr w:rsidR="00437291" w:rsidRPr="00513F4D" w14:paraId="3E131F4C" w14:textId="55F8B7D2" w:rsidTr="00E12C4E">
        <w:trPr>
          <w:trHeight w:val="310"/>
        </w:trPr>
        <w:tc>
          <w:tcPr>
            <w:tcW w:w="854" w:type="pct"/>
            <w:shd w:val="clear" w:color="auto" w:fill="auto"/>
            <w:noWrap/>
            <w:vAlign w:val="bottom"/>
            <w:hideMark/>
          </w:tcPr>
          <w:p w14:paraId="3D70D328" w14:textId="77777777" w:rsidR="00437291" w:rsidRPr="00513F4D" w:rsidRDefault="00437291" w:rsidP="00513F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1044" w:type="pct"/>
            <w:gridSpan w:val="3"/>
            <w:shd w:val="clear" w:color="000000" w:fill="002060"/>
            <w:noWrap/>
            <w:vAlign w:val="bottom"/>
            <w:hideMark/>
          </w:tcPr>
          <w:p w14:paraId="2C618B5C" w14:textId="77777777" w:rsidR="00437291" w:rsidRPr="00513F4D" w:rsidRDefault="00437291" w:rsidP="0051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Sicure</w:t>
            </w:r>
          </w:p>
        </w:tc>
        <w:tc>
          <w:tcPr>
            <w:tcW w:w="1039" w:type="pct"/>
            <w:gridSpan w:val="3"/>
            <w:shd w:val="clear" w:color="000000" w:fill="009999"/>
            <w:noWrap/>
            <w:vAlign w:val="bottom"/>
            <w:hideMark/>
          </w:tcPr>
          <w:p w14:paraId="352C1C7E" w14:textId="77777777" w:rsidR="00437291" w:rsidRPr="00513F4D" w:rsidRDefault="00437291" w:rsidP="0051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Solvibili</w:t>
            </w:r>
          </w:p>
        </w:tc>
        <w:tc>
          <w:tcPr>
            <w:tcW w:w="1039" w:type="pct"/>
            <w:gridSpan w:val="3"/>
            <w:shd w:val="clear" w:color="000000" w:fill="DDA794"/>
            <w:noWrap/>
            <w:vAlign w:val="bottom"/>
            <w:hideMark/>
          </w:tcPr>
          <w:p w14:paraId="784DDFF7" w14:textId="77777777" w:rsidR="00437291" w:rsidRPr="00513F4D" w:rsidRDefault="00437291" w:rsidP="0051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Vulnerabili</w:t>
            </w:r>
          </w:p>
        </w:tc>
        <w:tc>
          <w:tcPr>
            <w:tcW w:w="691" w:type="pct"/>
            <w:gridSpan w:val="2"/>
            <w:shd w:val="clear" w:color="000000" w:fill="CE1B5B"/>
            <w:noWrap/>
            <w:vAlign w:val="bottom"/>
            <w:hideMark/>
          </w:tcPr>
          <w:p w14:paraId="5E9610E6" w14:textId="77777777" w:rsidR="00437291" w:rsidRPr="00513F4D" w:rsidRDefault="00437291" w:rsidP="0051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Rischiose</w:t>
            </w:r>
          </w:p>
        </w:tc>
        <w:tc>
          <w:tcPr>
            <w:tcW w:w="334" w:type="pct"/>
            <w:shd w:val="clear" w:color="000000" w:fill="CE1B5B"/>
          </w:tcPr>
          <w:p w14:paraId="41B0CA22" w14:textId="77777777" w:rsidR="00437291" w:rsidRPr="00513F4D" w:rsidRDefault="00437291" w:rsidP="00513F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</w:p>
        </w:tc>
      </w:tr>
      <w:tr w:rsidR="00437291" w:rsidRPr="00513F4D" w14:paraId="33F12608" w14:textId="364741D6" w:rsidTr="00E12C4E">
        <w:trPr>
          <w:trHeight w:val="300"/>
        </w:trPr>
        <w:tc>
          <w:tcPr>
            <w:tcW w:w="854" w:type="pct"/>
            <w:shd w:val="clear" w:color="auto" w:fill="auto"/>
            <w:noWrap/>
            <w:vAlign w:val="bottom"/>
            <w:hideMark/>
          </w:tcPr>
          <w:p w14:paraId="7EA474FB" w14:textId="77777777" w:rsidR="00437291" w:rsidRPr="00513F4D" w:rsidRDefault="00437291" w:rsidP="004372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346" w:type="pct"/>
            <w:shd w:val="clear" w:color="000000" w:fill="002060"/>
            <w:noWrap/>
            <w:vAlign w:val="bottom"/>
            <w:hideMark/>
          </w:tcPr>
          <w:p w14:paraId="0628C13D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Base</w:t>
            </w:r>
          </w:p>
        </w:tc>
        <w:tc>
          <w:tcPr>
            <w:tcW w:w="346" w:type="pct"/>
            <w:shd w:val="clear" w:color="000000" w:fill="002060"/>
            <w:noWrap/>
            <w:vAlign w:val="bottom"/>
            <w:hideMark/>
          </w:tcPr>
          <w:p w14:paraId="648A04F8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Soft</w:t>
            </w:r>
          </w:p>
        </w:tc>
        <w:tc>
          <w:tcPr>
            <w:tcW w:w="351" w:type="pct"/>
            <w:shd w:val="clear" w:color="000000" w:fill="002060"/>
            <w:noWrap/>
            <w:vAlign w:val="bottom"/>
            <w:hideMark/>
          </w:tcPr>
          <w:p w14:paraId="1DED86B2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Hard</w:t>
            </w:r>
          </w:p>
        </w:tc>
        <w:tc>
          <w:tcPr>
            <w:tcW w:w="347" w:type="pct"/>
            <w:shd w:val="clear" w:color="000000" w:fill="009999"/>
            <w:noWrap/>
            <w:vAlign w:val="bottom"/>
            <w:hideMark/>
          </w:tcPr>
          <w:p w14:paraId="3C552405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Base</w:t>
            </w:r>
          </w:p>
        </w:tc>
        <w:tc>
          <w:tcPr>
            <w:tcW w:w="346" w:type="pct"/>
            <w:shd w:val="clear" w:color="000000" w:fill="009999"/>
            <w:noWrap/>
            <w:vAlign w:val="bottom"/>
            <w:hideMark/>
          </w:tcPr>
          <w:p w14:paraId="2953A6FD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Soft</w:t>
            </w:r>
          </w:p>
        </w:tc>
        <w:tc>
          <w:tcPr>
            <w:tcW w:w="346" w:type="pct"/>
            <w:shd w:val="clear" w:color="000000" w:fill="009999"/>
            <w:noWrap/>
            <w:vAlign w:val="bottom"/>
            <w:hideMark/>
          </w:tcPr>
          <w:p w14:paraId="093A0337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Hard</w:t>
            </w:r>
          </w:p>
        </w:tc>
        <w:tc>
          <w:tcPr>
            <w:tcW w:w="346" w:type="pct"/>
            <w:shd w:val="clear" w:color="000000" w:fill="DDA794"/>
            <w:noWrap/>
            <w:vAlign w:val="bottom"/>
            <w:hideMark/>
          </w:tcPr>
          <w:p w14:paraId="119A1D84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Base</w:t>
            </w:r>
          </w:p>
        </w:tc>
        <w:tc>
          <w:tcPr>
            <w:tcW w:w="347" w:type="pct"/>
            <w:shd w:val="clear" w:color="000000" w:fill="DDA794"/>
            <w:noWrap/>
            <w:vAlign w:val="bottom"/>
            <w:hideMark/>
          </w:tcPr>
          <w:p w14:paraId="606AFDD5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Soft</w:t>
            </w:r>
          </w:p>
        </w:tc>
        <w:tc>
          <w:tcPr>
            <w:tcW w:w="346" w:type="pct"/>
            <w:shd w:val="clear" w:color="000000" w:fill="DDA794"/>
            <w:noWrap/>
            <w:vAlign w:val="bottom"/>
            <w:hideMark/>
          </w:tcPr>
          <w:p w14:paraId="0398CD04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Hard</w:t>
            </w:r>
          </w:p>
        </w:tc>
        <w:tc>
          <w:tcPr>
            <w:tcW w:w="344" w:type="pct"/>
            <w:shd w:val="clear" w:color="000000" w:fill="CE1B5B"/>
            <w:noWrap/>
            <w:vAlign w:val="bottom"/>
            <w:hideMark/>
          </w:tcPr>
          <w:p w14:paraId="17FDD6DE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Base</w:t>
            </w:r>
          </w:p>
        </w:tc>
        <w:tc>
          <w:tcPr>
            <w:tcW w:w="347" w:type="pct"/>
            <w:shd w:val="clear" w:color="000000" w:fill="CE1B5B"/>
            <w:noWrap/>
            <w:vAlign w:val="bottom"/>
            <w:hideMark/>
          </w:tcPr>
          <w:p w14:paraId="0028AFE9" w14:textId="77777777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513F4D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Soft</w:t>
            </w:r>
          </w:p>
        </w:tc>
        <w:tc>
          <w:tcPr>
            <w:tcW w:w="334" w:type="pct"/>
            <w:shd w:val="clear" w:color="000000" w:fill="CE1B5B"/>
            <w:vAlign w:val="bottom"/>
          </w:tcPr>
          <w:p w14:paraId="66B56D28" w14:textId="559665C3" w:rsidR="00437291" w:rsidRPr="00513F4D" w:rsidRDefault="00437291" w:rsidP="004372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</w:pPr>
            <w:r w:rsidRPr="00437291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it-IT"/>
              </w:rPr>
              <w:t>Hard</w:t>
            </w:r>
          </w:p>
        </w:tc>
      </w:tr>
      <w:tr w:rsidR="00437291" w:rsidRPr="00513F4D" w14:paraId="6FFB9A7A" w14:textId="59297D22" w:rsidTr="00E12C4E">
        <w:trPr>
          <w:trHeight w:val="290"/>
        </w:trPr>
        <w:tc>
          <w:tcPr>
            <w:tcW w:w="854" w:type="pct"/>
            <w:shd w:val="clear" w:color="auto" w:fill="auto"/>
            <w:noWrap/>
            <w:vAlign w:val="bottom"/>
            <w:hideMark/>
          </w:tcPr>
          <w:p w14:paraId="454CD713" w14:textId="77777777" w:rsidR="00437291" w:rsidRPr="003F6046" w:rsidRDefault="00437291" w:rsidP="004372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Italia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FE3D7C8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24,5%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2D9F25D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14,7%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0E33CA68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10,0%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3E8AB7B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41,2%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40077443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41,0%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903FB70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39,0%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8D1F45F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25,9%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19989D95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30,4%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EE21208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32,3%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1DA7987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8,4%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574E180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13,9%</w:t>
            </w:r>
          </w:p>
        </w:tc>
        <w:tc>
          <w:tcPr>
            <w:tcW w:w="334" w:type="pct"/>
          </w:tcPr>
          <w:p w14:paraId="27B266E2" w14:textId="05CAD511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3729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18,8%</w:t>
            </w:r>
          </w:p>
        </w:tc>
      </w:tr>
      <w:tr w:rsidR="00437291" w:rsidRPr="00513F4D" w14:paraId="3A6F6DBE" w14:textId="0221A44D" w:rsidTr="00E12C4E">
        <w:trPr>
          <w:trHeight w:val="290"/>
        </w:trPr>
        <w:tc>
          <w:tcPr>
            <w:tcW w:w="854" w:type="pct"/>
            <w:shd w:val="clear" w:color="auto" w:fill="auto"/>
            <w:noWrap/>
            <w:vAlign w:val="bottom"/>
            <w:hideMark/>
          </w:tcPr>
          <w:p w14:paraId="22623641" w14:textId="77777777" w:rsidR="00437291" w:rsidRPr="003F6046" w:rsidRDefault="00437291" w:rsidP="004372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Nord-Est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CC81FE0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32,6%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47B9A10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18,8%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64D20870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12,6%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689AAC78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41,0%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0D75422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45,3%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FC35C57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44,9%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4BA5416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20,5%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2B38D212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25,6%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DDFBC9A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28,4%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B534566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5,8%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49A31A5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10,3%</w:t>
            </w:r>
          </w:p>
        </w:tc>
        <w:tc>
          <w:tcPr>
            <w:tcW w:w="334" w:type="pct"/>
          </w:tcPr>
          <w:p w14:paraId="5FA8DA4A" w14:textId="515C9DE1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3729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14,2%</w:t>
            </w:r>
          </w:p>
        </w:tc>
      </w:tr>
      <w:tr w:rsidR="00437291" w:rsidRPr="00513F4D" w14:paraId="473EE89F" w14:textId="26839B39" w:rsidTr="00E12C4E">
        <w:trPr>
          <w:trHeight w:val="290"/>
        </w:trPr>
        <w:tc>
          <w:tcPr>
            <w:tcW w:w="854" w:type="pct"/>
            <w:shd w:val="clear" w:color="auto" w:fill="auto"/>
            <w:noWrap/>
            <w:vAlign w:val="bottom"/>
            <w:hideMark/>
          </w:tcPr>
          <w:p w14:paraId="72080E03" w14:textId="77777777" w:rsidR="00437291" w:rsidRPr="003F6046" w:rsidRDefault="00437291" w:rsidP="00437291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Nord-Ovest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A0E8A6B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31,2%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AE0F220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18,9%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02B5ABDE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12,5%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E8F08E4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40,6%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054D0E0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44,1%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0DDD4C6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43,8%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938A100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21,6%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C853439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26,3%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D314386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29,0%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5F85D32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6,7%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41C2833" w14:textId="77777777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10,6%</w:t>
            </w:r>
          </w:p>
        </w:tc>
        <w:tc>
          <w:tcPr>
            <w:tcW w:w="334" w:type="pct"/>
          </w:tcPr>
          <w:p w14:paraId="21E69461" w14:textId="4995AD0A" w:rsidR="00437291" w:rsidRPr="003F6046" w:rsidRDefault="00437291" w:rsidP="004372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3729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14,8%</w:t>
            </w:r>
          </w:p>
        </w:tc>
      </w:tr>
      <w:tr w:rsidR="00E12C4E" w:rsidRPr="00513F4D" w14:paraId="417C456F" w14:textId="77777777" w:rsidTr="00E12C4E">
        <w:trPr>
          <w:trHeight w:val="290"/>
        </w:trPr>
        <w:tc>
          <w:tcPr>
            <w:tcW w:w="854" w:type="pct"/>
            <w:shd w:val="clear" w:color="auto" w:fill="auto"/>
            <w:noWrap/>
            <w:vAlign w:val="center"/>
          </w:tcPr>
          <w:p w14:paraId="1A95D36D" w14:textId="54679DA0" w:rsidR="00E12C4E" w:rsidRPr="00C821F4" w:rsidRDefault="00E12C4E" w:rsidP="00E12C4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highlight w:val="green"/>
                <w:lang w:eastAsia="it-IT"/>
              </w:rPr>
              <w:t>Lombardia</w:t>
            </w:r>
          </w:p>
        </w:tc>
        <w:tc>
          <w:tcPr>
            <w:tcW w:w="346" w:type="pct"/>
            <w:shd w:val="clear" w:color="auto" w:fill="auto"/>
            <w:noWrap/>
          </w:tcPr>
          <w:p w14:paraId="00DCC4AF" w14:textId="2616F039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30,9%</w:t>
            </w:r>
          </w:p>
        </w:tc>
        <w:tc>
          <w:tcPr>
            <w:tcW w:w="346" w:type="pct"/>
            <w:shd w:val="clear" w:color="auto" w:fill="auto"/>
            <w:noWrap/>
          </w:tcPr>
          <w:p w14:paraId="30721703" w14:textId="590A802A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18,5%</w:t>
            </w:r>
          </w:p>
        </w:tc>
        <w:tc>
          <w:tcPr>
            <w:tcW w:w="351" w:type="pct"/>
            <w:shd w:val="clear" w:color="auto" w:fill="auto"/>
            <w:noWrap/>
          </w:tcPr>
          <w:p w14:paraId="23E992BA" w14:textId="02E3B3B6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12,1%</w:t>
            </w:r>
          </w:p>
        </w:tc>
        <w:tc>
          <w:tcPr>
            <w:tcW w:w="347" w:type="pct"/>
            <w:shd w:val="clear" w:color="auto" w:fill="auto"/>
            <w:noWrap/>
          </w:tcPr>
          <w:p w14:paraId="52AEB73C" w14:textId="74720888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40,4%</w:t>
            </w:r>
          </w:p>
        </w:tc>
        <w:tc>
          <w:tcPr>
            <w:tcW w:w="346" w:type="pct"/>
            <w:shd w:val="clear" w:color="auto" w:fill="auto"/>
            <w:noWrap/>
          </w:tcPr>
          <w:p w14:paraId="13B849D6" w14:textId="55BE4B2F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44,0%</w:t>
            </w:r>
          </w:p>
        </w:tc>
        <w:tc>
          <w:tcPr>
            <w:tcW w:w="346" w:type="pct"/>
            <w:shd w:val="clear" w:color="auto" w:fill="auto"/>
            <w:noWrap/>
          </w:tcPr>
          <w:p w14:paraId="1FF5480C" w14:textId="00572BB6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43,5%</w:t>
            </w:r>
          </w:p>
        </w:tc>
        <w:tc>
          <w:tcPr>
            <w:tcW w:w="346" w:type="pct"/>
            <w:shd w:val="clear" w:color="auto" w:fill="auto"/>
            <w:noWrap/>
          </w:tcPr>
          <w:p w14:paraId="1FD9BBC5" w14:textId="2B348C3B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21,9%</w:t>
            </w:r>
          </w:p>
        </w:tc>
        <w:tc>
          <w:tcPr>
            <w:tcW w:w="347" w:type="pct"/>
            <w:shd w:val="clear" w:color="auto" w:fill="auto"/>
            <w:noWrap/>
          </w:tcPr>
          <w:p w14:paraId="7F052C03" w14:textId="19F4863C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26,5%</w:t>
            </w:r>
          </w:p>
        </w:tc>
        <w:tc>
          <w:tcPr>
            <w:tcW w:w="346" w:type="pct"/>
            <w:shd w:val="clear" w:color="auto" w:fill="auto"/>
            <w:noWrap/>
          </w:tcPr>
          <w:p w14:paraId="047658D1" w14:textId="54CE62A5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29,2%</w:t>
            </w:r>
          </w:p>
        </w:tc>
        <w:tc>
          <w:tcPr>
            <w:tcW w:w="344" w:type="pct"/>
            <w:shd w:val="clear" w:color="auto" w:fill="auto"/>
            <w:noWrap/>
          </w:tcPr>
          <w:p w14:paraId="4B3A08CA" w14:textId="0CAB2C49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6,8%</w:t>
            </w:r>
          </w:p>
        </w:tc>
        <w:tc>
          <w:tcPr>
            <w:tcW w:w="347" w:type="pct"/>
            <w:shd w:val="clear" w:color="auto" w:fill="auto"/>
            <w:noWrap/>
          </w:tcPr>
          <w:p w14:paraId="0C701670" w14:textId="1DCEA5EB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11,0%</w:t>
            </w:r>
          </w:p>
        </w:tc>
        <w:tc>
          <w:tcPr>
            <w:tcW w:w="334" w:type="pct"/>
          </w:tcPr>
          <w:p w14:paraId="43196D20" w14:textId="1BBFE118" w:rsidR="00E12C4E" w:rsidRPr="00C821F4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highlight w:val="green"/>
                <w:lang w:eastAsia="it-IT"/>
              </w:rPr>
            </w:pPr>
            <w:r w:rsidRPr="00C821F4">
              <w:rPr>
                <w:b/>
                <w:bCs/>
                <w:sz w:val="18"/>
                <w:szCs w:val="18"/>
                <w:highlight w:val="green"/>
              </w:rPr>
              <w:t>15,2%</w:t>
            </w:r>
          </w:p>
        </w:tc>
      </w:tr>
      <w:tr w:rsidR="00E12C4E" w:rsidRPr="00513F4D" w14:paraId="48D4C904" w14:textId="25D70955" w:rsidTr="00E12C4E">
        <w:trPr>
          <w:trHeight w:val="290"/>
        </w:trPr>
        <w:tc>
          <w:tcPr>
            <w:tcW w:w="854" w:type="pct"/>
            <w:shd w:val="clear" w:color="auto" w:fill="auto"/>
            <w:noWrap/>
            <w:vAlign w:val="bottom"/>
            <w:hideMark/>
          </w:tcPr>
          <w:p w14:paraId="536EE929" w14:textId="77777777" w:rsidR="00E12C4E" w:rsidRPr="003F6046" w:rsidRDefault="00E12C4E" w:rsidP="00E12C4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Centro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0F3BC15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17,8%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1836AF1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10,6%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29AA55F3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7,2%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6B0202D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41,9%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DCF159C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37,8%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7C7CC6CA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34,1%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9E33605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30,1%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C9C3EFF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34,5%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1129AD08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35,8%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6DFD112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10,1%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36445C0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17,2%</w:t>
            </w:r>
          </w:p>
        </w:tc>
        <w:tc>
          <w:tcPr>
            <w:tcW w:w="334" w:type="pct"/>
          </w:tcPr>
          <w:p w14:paraId="458DCF48" w14:textId="0E1C3F5D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3729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22,9%</w:t>
            </w:r>
          </w:p>
        </w:tc>
      </w:tr>
      <w:tr w:rsidR="00E12C4E" w:rsidRPr="00513F4D" w14:paraId="10955CD8" w14:textId="6C55C8FB" w:rsidTr="00E12C4E">
        <w:trPr>
          <w:trHeight w:val="300"/>
        </w:trPr>
        <w:tc>
          <w:tcPr>
            <w:tcW w:w="854" w:type="pct"/>
            <w:shd w:val="clear" w:color="auto" w:fill="auto"/>
            <w:noWrap/>
            <w:vAlign w:val="bottom"/>
            <w:hideMark/>
          </w:tcPr>
          <w:p w14:paraId="2630785E" w14:textId="77777777" w:rsidR="00E12C4E" w:rsidRPr="003F6046" w:rsidRDefault="00E12C4E" w:rsidP="00E12C4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Mezzogiorno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2C8686CA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11,6%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3FEDC8A7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7,4%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14:paraId="20377D45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5,9%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0BCD884D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41,8%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6F2A958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34,4%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065777BA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29,8%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6498DD7B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34,4%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57759964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38,2%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14:paraId="558A65C5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38,4%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96F2B9B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12,3%</w:t>
            </w:r>
          </w:p>
        </w:tc>
        <w:tc>
          <w:tcPr>
            <w:tcW w:w="347" w:type="pct"/>
            <w:shd w:val="clear" w:color="auto" w:fill="auto"/>
            <w:noWrap/>
            <w:vAlign w:val="bottom"/>
            <w:hideMark/>
          </w:tcPr>
          <w:p w14:paraId="78E8A881" w14:textId="77777777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3F6046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20,0%</w:t>
            </w:r>
          </w:p>
        </w:tc>
        <w:tc>
          <w:tcPr>
            <w:tcW w:w="334" w:type="pct"/>
          </w:tcPr>
          <w:p w14:paraId="320C3E7E" w14:textId="6CB78762" w:rsidR="00E12C4E" w:rsidRPr="003F6046" w:rsidRDefault="00E12C4E" w:rsidP="00E12C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</w:pPr>
            <w:r w:rsidRPr="00437291">
              <w:rPr>
                <w:rFonts w:eastAsia="Times New Roman" w:cstheme="minorHAnsi"/>
                <w:color w:val="000000"/>
                <w:sz w:val="18"/>
                <w:szCs w:val="18"/>
                <w:lang w:eastAsia="it-IT"/>
              </w:rPr>
              <w:t>26,0%</w:t>
            </w:r>
          </w:p>
        </w:tc>
      </w:tr>
      <w:bookmarkEnd w:id="1"/>
    </w:tbl>
    <w:p w14:paraId="55AA9975" w14:textId="0CCE0EE0" w:rsidR="00513F4D" w:rsidRDefault="00513F4D"/>
    <w:p w14:paraId="3D819B8B" w14:textId="77777777" w:rsidR="00E96A6C" w:rsidRPr="006B2E5C" w:rsidRDefault="00E96A6C" w:rsidP="00E96A6C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6B2E5C">
        <w:rPr>
          <w:rFonts w:ascii="Calibri" w:eastAsia="Calibri" w:hAnsi="Calibri" w:cs="Times New Roman"/>
          <w:sz w:val="20"/>
          <w:szCs w:val="20"/>
        </w:rPr>
        <w:t>La caduta dei ricavi e dei margini, i potenziali impatti sulla struttura finanziaria delle PMI avranno forti implicazioni sulla probabilità di default delle PMI, con un possibile ulteriore ampliamento dei divari di rischio tra le regioni del Centro-Sud e quelle settentrionali.</w:t>
      </w:r>
    </w:p>
    <w:p w14:paraId="3038F1CC" w14:textId="525A7525" w:rsidR="00E96A6C" w:rsidRPr="006B2E5C" w:rsidRDefault="00E96A6C" w:rsidP="00E96A6C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6B2E5C">
        <w:rPr>
          <w:rFonts w:ascii="Calibri" w:eastAsia="Calibri" w:hAnsi="Calibri" w:cs="Times New Roman"/>
          <w:sz w:val="20"/>
          <w:szCs w:val="20"/>
        </w:rPr>
        <w:t>Nel complesso, la quota di PMI a cui è assegnato un Cerved Group Score nell’area di rischio passerebbe dall’8,4% al 13,9% nello scenario base. La quota si attesterebbe al 10,3% nel Nord-Est (dal 5,8%), al 10,6% nel Nord-Ovest (dal 6,7%), al 17,2% nel Centro (dal 10,1%), al 20% nel Mezzogiorno (dal 12,3%). Il divario tra l’area più rischiosa (</w:t>
      </w:r>
      <w:r w:rsidR="006B2E5C">
        <w:rPr>
          <w:rFonts w:ascii="Calibri" w:eastAsia="Calibri" w:hAnsi="Calibri" w:cs="Times New Roman"/>
          <w:sz w:val="20"/>
          <w:szCs w:val="20"/>
        </w:rPr>
        <w:t>Mezzogiorno</w:t>
      </w:r>
      <w:r w:rsidRPr="006B2E5C">
        <w:rPr>
          <w:rFonts w:ascii="Calibri" w:eastAsia="Calibri" w:hAnsi="Calibri" w:cs="Times New Roman"/>
          <w:sz w:val="20"/>
          <w:szCs w:val="20"/>
        </w:rPr>
        <w:t>) e la più sicura (Nord-Est), passerebbe da 6,5 a 9,7 punti percentuali.</w:t>
      </w:r>
    </w:p>
    <w:p w14:paraId="206A403D" w14:textId="272F1F0E" w:rsidR="00E96A6C" w:rsidRPr="006B2E5C" w:rsidRDefault="00E96A6C" w:rsidP="00E96A6C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6B2E5C">
        <w:rPr>
          <w:rFonts w:ascii="Calibri" w:eastAsia="Calibri" w:hAnsi="Calibri" w:cs="Times New Roman"/>
          <w:sz w:val="20"/>
          <w:szCs w:val="20"/>
        </w:rPr>
        <w:t xml:space="preserve">Nello scenario pessimistico, la quota di PMI a maggiore rischio di insolvenza aumenterebbe al 18,8%, con una quota che salirebbe al 26% nel Mezzogiorno, al 22,9% nel Centro, al 14,8% nel Nord-Ovest e al 14,2% nel Nord-Est, con un ulteriore allargamento del </w:t>
      </w:r>
      <w:proofErr w:type="gramStart"/>
      <w:r w:rsidRPr="006B2E5C">
        <w:rPr>
          <w:rFonts w:ascii="Calibri" w:eastAsia="Calibri" w:hAnsi="Calibri" w:cs="Times New Roman"/>
          <w:sz w:val="20"/>
          <w:szCs w:val="20"/>
        </w:rPr>
        <w:t>gap</w:t>
      </w:r>
      <w:proofErr w:type="gramEnd"/>
      <w:r w:rsidRPr="006B2E5C">
        <w:rPr>
          <w:rFonts w:ascii="Calibri" w:eastAsia="Calibri" w:hAnsi="Calibri" w:cs="Times New Roman"/>
          <w:sz w:val="20"/>
          <w:szCs w:val="20"/>
        </w:rPr>
        <w:t xml:space="preserve"> tra le regioni centro-meridionali e il resto del Paese. </w:t>
      </w:r>
    </w:p>
    <w:p w14:paraId="581D5408" w14:textId="782D9AA2" w:rsidR="00513F4D" w:rsidRDefault="00513F4D"/>
    <w:p w14:paraId="08922FFE" w14:textId="6B47CF8E" w:rsidR="00513F4D" w:rsidRDefault="00513F4D"/>
    <w:p w14:paraId="3CF261D6" w14:textId="39A03445" w:rsidR="00513F4D" w:rsidRDefault="00513F4D"/>
    <w:p w14:paraId="520219A0" w14:textId="77777777" w:rsidR="00513F4D" w:rsidRDefault="00513F4D"/>
    <w:p w14:paraId="186D9228" w14:textId="0C520C20" w:rsidR="00382431" w:rsidRDefault="00382431"/>
    <w:sectPr w:rsidR="00382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48"/>
    <w:rsid w:val="00055A5D"/>
    <w:rsid w:val="000D4C48"/>
    <w:rsid w:val="001C4E4D"/>
    <w:rsid w:val="00291461"/>
    <w:rsid w:val="00382431"/>
    <w:rsid w:val="003F6046"/>
    <w:rsid w:val="00437291"/>
    <w:rsid w:val="004F31F9"/>
    <w:rsid w:val="00513F4D"/>
    <w:rsid w:val="0054358E"/>
    <w:rsid w:val="005B5EB2"/>
    <w:rsid w:val="005D1190"/>
    <w:rsid w:val="006B2E5C"/>
    <w:rsid w:val="007A0680"/>
    <w:rsid w:val="007B16ED"/>
    <w:rsid w:val="007C3DDC"/>
    <w:rsid w:val="009F4194"/>
    <w:rsid w:val="00A07062"/>
    <w:rsid w:val="00AD6936"/>
    <w:rsid w:val="00C821F4"/>
    <w:rsid w:val="00D32CB2"/>
    <w:rsid w:val="00E0284C"/>
    <w:rsid w:val="00E12221"/>
    <w:rsid w:val="00E12C4E"/>
    <w:rsid w:val="00E96A6C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FBE4"/>
  <w15:chartTrackingRefBased/>
  <w15:docId w15:val="{F90FC186-2C7D-41B1-8A6D-6C525B258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8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513F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B3BA6E2CCA8499306851845FFFA9A" ma:contentTypeVersion="12" ma:contentTypeDescription="Create a new document." ma:contentTypeScope="" ma:versionID="18cefea9825b5a288ab288ab789d178e">
  <xsd:schema xmlns:xsd="http://www.w3.org/2001/XMLSchema" xmlns:xs="http://www.w3.org/2001/XMLSchema" xmlns:p="http://schemas.microsoft.com/office/2006/metadata/properties" xmlns:ns3="109504f6-82f4-4274-b9f0-ad05fe0fd779" xmlns:ns4="40898d27-0bd0-4091-9f45-c09e860b66f1" targetNamespace="http://schemas.microsoft.com/office/2006/metadata/properties" ma:root="true" ma:fieldsID="7a359af6525dc29a17546bb3ee2529fa" ns3:_="" ns4:_="">
    <xsd:import namespace="109504f6-82f4-4274-b9f0-ad05fe0fd779"/>
    <xsd:import namespace="40898d27-0bd0-4091-9f45-c09e860b6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04f6-82f4-4274-b9f0-ad05fe0fd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98d27-0bd0-4091-9f45-c09e860b6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6899F1-C64F-4464-84ED-9D6120E94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504f6-82f4-4274-b9f0-ad05fe0fd779"/>
    <ds:schemaRef ds:uri="40898d27-0bd0-4091-9f45-c09e860b6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2CBB6-6DB7-473E-8F70-4E491EC4E0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BBBDE0-BD12-44D3-96A9-EA0812E53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A04C71-A0EA-48ED-A7E9-FD8A8A465C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Ungaro Francesco</dc:creator>
  <cp:keywords/>
  <dc:description/>
  <cp:lastModifiedBy>Salveti Alessandro Carlo</cp:lastModifiedBy>
  <cp:revision>6</cp:revision>
  <dcterms:created xsi:type="dcterms:W3CDTF">2020-07-10T09:39:00Z</dcterms:created>
  <dcterms:modified xsi:type="dcterms:W3CDTF">2020-07-22T08:50:00Z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0x0101007A9B3BA6E2CCA8499306851845FFFA9A</vt:lpwstr>
  </property>
</Properties>
</file>