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398" w:rsidRDefault="00B76398" w:rsidP="00B7639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B7639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982814" cy="529669"/>
            <wp:effectExtent l="19050" t="0" r="7786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212" cy="532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B7639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078230" cy="373162"/>
            <wp:effectExtent l="19050" t="0" r="7620" b="0"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973" cy="37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6DA" w:rsidRDefault="00AE26DA" w:rsidP="007E4CC5">
      <w:pPr>
        <w:spacing w:after="12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Confindustria-Cerved: Rapporto PMI Centro-Nord 2019</w:t>
      </w:r>
    </w:p>
    <w:p w:rsidR="00FD6F6E" w:rsidRPr="00B76398" w:rsidRDefault="00FD6F6E" w:rsidP="007E4CC5">
      <w:pPr>
        <w:spacing w:after="12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QUADRO INCERTO, </w:t>
      </w:r>
      <w:r w:rsidR="00AE26DA">
        <w:rPr>
          <w:rFonts w:ascii="Arial" w:hAnsi="Arial" w:cs="Arial"/>
          <w:b/>
          <w:sz w:val="24"/>
          <w:szCs w:val="24"/>
        </w:rPr>
        <w:t xml:space="preserve">CRISI ARCHIVIATA MA </w:t>
      </w:r>
      <w:r>
        <w:rPr>
          <w:rFonts w:ascii="Arial" w:hAnsi="Arial" w:cs="Arial"/>
          <w:b/>
          <w:sz w:val="24"/>
          <w:szCs w:val="24"/>
        </w:rPr>
        <w:t xml:space="preserve">RALLENTA LA </w:t>
      </w:r>
      <w:r w:rsidR="008A33F3">
        <w:rPr>
          <w:rFonts w:ascii="Arial" w:hAnsi="Arial" w:cs="Arial"/>
          <w:b/>
          <w:sz w:val="24"/>
          <w:szCs w:val="24"/>
        </w:rPr>
        <w:t>CORSA</w:t>
      </w:r>
      <w:r w:rsidR="004B690E">
        <w:rPr>
          <w:rFonts w:ascii="Arial" w:hAnsi="Arial" w:cs="Arial"/>
          <w:b/>
          <w:sz w:val="24"/>
          <w:szCs w:val="24"/>
        </w:rPr>
        <w:t xml:space="preserve"> DELLE IMPRESE</w:t>
      </w:r>
    </w:p>
    <w:p w:rsidR="00B76398" w:rsidRDefault="00B76398" w:rsidP="00B76398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6D4FC7" w:rsidRPr="00B76398" w:rsidRDefault="006D4FC7" w:rsidP="00B76398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76398">
        <w:rPr>
          <w:rFonts w:ascii="Arial" w:hAnsi="Arial" w:cs="Arial"/>
          <w:b/>
          <w:sz w:val="24"/>
          <w:szCs w:val="24"/>
        </w:rPr>
        <w:t>Bolzano, 12 aprile 2019</w:t>
      </w:r>
      <w:r w:rsidRPr="00B76398">
        <w:rPr>
          <w:rFonts w:ascii="Arial" w:hAnsi="Arial" w:cs="Arial"/>
          <w:i/>
          <w:sz w:val="24"/>
          <w:szCs w:val="24"/>
        </w:rPr>
        <w:t xml:space="preserve">. Il trend di crescita </w:t>
      </w:r>
      <w:r w:rsidR="00397973" w:rsidRPr="00B76398">
        <w:rPr>
          <w:rFonts w:ascii="Arial" w:hAnsi="Arial" w:cs="Arial"/>
          <w:i/>
          <w:sz w:val="24"/>
          <w:szCs w:val="24"/>
        </w:rPr>
        <w:t xml:space="preserve">delle PMI del </w:t>
      </w:r>
      <w:r w:rsidR="00CC58C4">
        <w:rPr>
          <w:rFonts w:ascii="Arial" w:hAnsi="Arial" w:cs="Arial"/>
          <w:i/>
          <w:sz w:val="24"/>
          <w:szCs w:val="24"/>
        </w:rPr>
        <w:t>Centro-</w:t>
      </w:r>
      <w:r w:rsidRPr="00B76398">
        <w:rPr>
          <w:rFonts w:ascii="Arial" w:hAnsi="Arial" w:cs="Arial"/>
          <w:i/>
          <w:sz w:val="24"/>
          <w:szCs w:val="24"/>
        </w:rPr>
        <w:t xml:space="preserve">Nord fa registrare una decisa accelerazione fino al 2017, con una piena uscita dalla crisi, </w:t>
      </w:r>
      <w:r w:rsidR="00B76398" w:rsidRPr="00B76398">
        <w:rPr>
          <w:rFonts w:ascii="Arial" w:hAnsi="Arial" w:cs="Arial"/>
          <w:i/>
          <w:sz w:val="24"/>
          <w:szCs w:val="24"/>
        </w:rPr>
        <w:t xml:space="preserve">pur rimanendo </w:t>
      </w:r>
      <w:r w:rsidRPr="00B76398">
        <w:rPr>
          <w:rFonts w:ascii="Arial" w:hAnsi="Arial" w:cs="Arial"/>
          <w:i/>
          <w:sz w:val="24"/>
          <w:szCs w:val="24"/>
        </w:rPr>
        <w:t>ampie le differenze regionali. Ma diversi indicatori nel 2018</w:t>
      </w:r>
      <w:r w:rsidR="004A458E">
        <w:rPr>
          <w:rFonts w:ascii="Arial" w:hAnsi="Arial" w:cs="Arial"/>
          <w:i/>
          <w:sz w:val="24"/>
          <w:szCs w:val="24"/>
        </w:rPr>
        <w:t xml:space="preserve"> vedono suonare significativi campanelli d’allarme</w:t>
      </w:r>
      <w:r w:rsidRPr="00B76398">
        <w:rPr>
          <w:rFonts w:ascii="Arial" w:hAnsi="Arial" w:cs="Arial"/>
          <w:i/>
          <w:sz w:val="24"/>
          <w:szCs w:val="24"/>
        </w:rPr>
        <w:t xml:space="preserve">, con aspettative per il 2019-2020 di una frenata ancora più brusca. </w:t>
      </w:r>
      <w:r w:rsidR="004A458E">
        <w:rPr>
          <w:rFonts w:ascii="Arial" w:hAnsi="Arial" w:cs="Arial"/>
          <w:i/>
          <w:sz w:val="24"/>
          <w:szCs w:val="24"/>
        </w:rPr>
        <w:t xml:space="preserve">Le stime, infatti, confermano </w:t>
      </w:r>
      <w:r w:rsidR="001C38CE">
        <w:rPr>
          <w:rFonts w:ascii="Arial" w:hAnsi="Arial" w:cs="Arial"/>
          <w:i/>
          <w:sz w:val="24"/>
          <w:szCs w:val="24"/>
        </w:rPr>
        <w:t>il</w:t>
      </w:r>
      <w:r w:rsidR="004A458E">
        <w:rPr>
          <w:rFonts w:ascii="Arial" w:hAnsi="Arial" w:cs="Arial"/>
          <w:i/>
          <w:sz w:val="24"/>
          <w:szCs w:val="24"/>
        </w:rPr>
        <w:t xml:space="preserve"> </w:t>
      </w:r>
      <w:r w:rsidR="001C38CE">
        <w:rPr>
          <w:rFonts w:ascii="Arial" w:hAnsi="Arial" w:cs="Arial"/>
          <w:i/>
          <w:sz w:val="24"/>
          <w:szCs w:val="24"/>
        </w:rPr>
        <w:t>rallentamento</w:t>
      </w:r>
      <w:r w:rsidR="004A458E">
        <w:rPr>
          <w:rFonts w:ascii="Arial" w:hAnsi="Arial" w:cs="Arial"/>
          <w:i/>
          <w:sz w:val="24"/>
          <w:szCs w:val="24"/>
        </w:rPr>
        <w:t xml:space="preserve"> dei principali indicatori di bilancio. </w:t>
      </w:r>
      <w:r w:rsidRPr="00B76398">
        <w:rPr>
          <w:rFonts w:ascii="Arial" w:hAnsi="Arial" w:cs="Arial"/>
          <w:i/>
          <w:sz w:val="24"/>
          <w:szCs w:val="24"/>
        </w:rPr>
        <w:t>Tre i possibili percorsi per il recupero di livelli più elevati di competitività: la capitalizzazione e la crescita dimensionale; l’apertura del capitale aziendale; la propensione all’esportazione.</w:t>
      </w:r>
      <w:r w:rsidR="004A458E">
        <w:rPr>
          <w:rFonts w:ascii="Arial" w:hAnsi="Arial" w:cs="Arial"/>
          <w:i/>
          <w:sz w:val="24"/>
          <w:szCs w:val="24"/>
        </w:rPr>
        <w:t xml:space="preserve"> Nel bacino delle PMI sono presenti circa 4.000 imprese “eccellenti”: se aprissero il loro capitale a </w:t>
      </w:r>
      <w:r w:rsidR="006C7E5D">
        <w:rPr>
          <w:rFonts w:ascii="Arial" w:hAnsi="Arial" w:cs="Arial"/>
          <w:i/>
          <w:sz w:val="24"/>
          <w:szCs w:val="24"/>
        </w:rPr>
        <w:t>investitori istituzionali,</w:t>
      </w:r>
      <w:r w:rsidR="004A458E">
        <w:rPr>
          <w:rFonts w:ascii="Arial" w:hAnsi="Arial" w:cs="Arial"/>
          <w:i/>
          <w:sz w:val="24"/>
          <w:szCs w:val="24"/>
        </w:rPr>
        <w:t xml:space="preserve"> </w:t>
      </w:r>
      <w:r w:rsidR="00F033F5">
        <w:rPr>
          <w:rFonts w:ascii="Arial" w:hAnsi="Arial" w:cs="Arial"/>
          <w:i/>
          <w:sz w:val="24"/>
          <w:szCs w:val="24"/>
        </w:rPr>
        <w:t xml:space="preserve">gli </w:t>
      </w:r>
      <w:r w:rsidR="004A458E">
        <w:rPr>
          <w:rFonts w:ascii="Arial" w:hAnsi="Arial" w:cs="Arial"/>
          <w:i/>
          <w:sz w:val="24"/>
          <w:szCs w:val="24"/>
        </w:rPr>
        <w:t>effetti sul PIL sarebbero molto significativi.</w:t>
      </w:r>
    </w:p>
    <w:p w:rsidR="00B76398" w:rsidRDefault="00B76398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6D4FC7" w:rsidRPr="00B76398" w:rsidRDefault="006D4FC7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6398">
        <w:rPr>
          <w:rFonts w:ascii="Arial" w:hAnsi="Arial" w:cs="Arial"/>
          <w:sz w:val="24"/>
          <w:szCs w:val="24"/>
        </w:rPr>
        <w:t>La quarta edizione del Rapporto PMI Centro-Nord, curato da Confindustria e Cerved, sintetizza così lo stato di salute e le prospettive a breve e medio termine delle PMI di capitali (tra 10 e 250 addetti) che operano nelle regioni più sviluppate del Paese. Un gruppo assai rappresentativo</w:t>
      </w:r>
      <w:r w:rsidR="00397973" w:rsidRPr="00B76398">
        <w:rPr>
          <w:rFonts w:ascii="Arial" w:hAnsi="Arial" w:cs="Arial"/>
          <w:sz w:val="24"/>
          <w:szCs w:val="24"/>
        </w:rPr>
        <w:t>, che vanta o</w:t>
      </w:r>
      <w:r w:rsidR="00CC58C4">
        <w:rPr>
          <w:rFonts w:ascii="Arial" w:hAnsi="Arial" w:cs="Arial"/>
          <w:sz w:val="24"/>
          <w:szCs w:val="24"/>
        </w:rPr>
        <w:t xml:space="preserve">ltre 122 mila imprese: </w:t>
      </w:r>
      <w:r w:rsidR="00397973" w:rsidRPr="00B76398">
        <w:rPr>
          <w:rFonts w:ascii="Arial" w:hAnsi="Arial" w:cs="Arial"/>
          <w:sz w:val="24"/>
          <w:szCs w:val="24"/>
        </w:rPr>
        <w:t>l’80% del totale delle imprese di capitali italiane</w:t>
      </w:r>
      <w:r w:rsidR="00440780">
        <w:rPr>
          <w:rFonts w:ascii="Arial" w:hAnsi="Arial" w:cs="Arial"/>
          <w:sz w:val="24"/>
          <w:szCs w:val="24"/>
        </w:rPr>
        <w:t xml:space="preserve"> di quelle dimensioni</w:t>
      </w:r>
      <w:r w:rsidR="00397973" w:rsidRPr="00B76398">
        <w:rPr>
          <w:rFonts w:ascii="Arial" w:hAnsi="Arial" w:cs="Arial"/>
          <w:sz w:val="24"/>
          <w:szCs w:val="24"/>
        </w:rPr>
        <w:t xml:space="preserve">. 51 mila </w:t>
      </w:r>
      <w:r w:rsidR="00440780">
        <w:rPr>
          <w:rFonts w:ascii="Arial" w:hAnsi="Arial" w:cs="Arial"/>
          <w:sz w:val="24"/>
          <w:szCs w:val="24"/>
        </w:rPr>
        <w:t xml:space="preserve">PMI </w:t>
      </w:r>
      <w:r w:rsidR="00397973" w:rsidRPr="00B76398">
        <w:rPr>
          <w:rFonts w:ascii="Arial" w:hAnsi="Arial" w:cs="Arial"/>
          <w:sz w:val="24"/>
          <w:szCs w:val="24"/>
        </w:rPr>
        <w:t>sono localizzate nel Nord-Ovest, oltre 39 mila nel Nord-Est e circa 32 mila nelle regioni del Centro. Con oltre 750 miliardi di euro di fatturato, circa 3milioni e 300 mila occupati, e 180 miliardi di euro di valore aggiunto, queste imprese valgono oltre il 10% del PIL italiano.</w:t>
      </w:r>
    </w:p>
    <w:p w:rsidR="00397973" w:rsidRPr="00B76398" w:rsidRDefault="00B76398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</w:t>
      </w:r>
      <w:r w:rsidR="00397973" w:rsidRPr="00B76398">
        <w:rPr>
          <w:rFonts w:ascii="Arial" w:hAnsi="Arial" w:cs="Arial"/>
          <w:sz w:val="24"/>
          <w:szCs w:val="24"/>
        </w:rPr>
        <w:t xml:space="preserve"> rafforzamento</w:t>
      </w:r>
      <w:r>
        <w:rPr>
          <w:rFonts w:ascii="Arial" w:hAnsi="Arial" w:cs="Arial"/>
          <w:sz w:val="24"/>
          <w:szCs w:val="24"/>
        </w:rPr>
        <w:t xml:space="preserve"> avviatosi con l’uscita dalla crisi </w:t>
      </w:r>
      <w:r w:rsidR="00440780">
        <w:rPr>
          <w:rFonts w:ascii="Arial" w:hAnsi="Arial" w:cs="Arial"/>
          <w:sz w:val="24"/>
          <w:szCs w:val="24"/>
        </w:rPr>
        <w:t>è proseguito nel 2017</w:t>
      </w:r>
      <w:r w:rsidR="00397973" w:rsidRPr="00B76398">
        <w:rPr>
          <w:rFonts w:ascii="Arial" w:hAnsi="Arial" w:cs="Arial"/>
          <w:sz w:val="24"/>
          <w:szCs w:val="24"/>
        </w:rPr>
        <w:t>: Nord-Ovest e Nord-Est hanno ormai recuperato il numero di imprese attive prima del</w:t>
      </w:r>
      <w:r>
        <w:rPr>
          <w:rFonts w:ascii="Arial" w:hAnsi="Arial" w:cs="Arial"/>
          <w:sz w:val="24"/>
          <w:szCs w:val="24"/>
        </w:rPr>
        <w:t xml:space="preserve"> 2007</w:t>
      </w:r>
      <w:r w:rsidR="00397973" w:rsidRPr="00B76398">
        <w:rPr>
          <w:rFonts w:ascii="Arial" w:hAnsi="Arial" w:cs="Arial"/>
          <w:sz w:val="24"/>
          <w:szCs w:val="24"/>
        </w:rPr>
        <w:t>, mentre il Centro è ormai vicino a quella simbolica soglia. Al recupero ha contribuito una natalità d’impresa rafforzatasi a partire dal 2013, e che ha visto nascere</w:t>
      </w:r>
      <w:r w:rsidR="00D965C4">
        <w:rPr>
          <w:rFonts w:ascii="Arial" w:hAnsi="Arial" w:cs="Arial"/>
          <w:sz w:val="24"/>
          <w:szCs w:val="24"/>
        </w:rPr>
        <w:t>,</w:t>
      </w:r>
      <w:r w:rsidR="00397973" w:rsidRPr="00B76398">
        <w:rPr>
          <w:rFonts w:ascii="Arial" w:hAnsi="Arial" w:cs="Arial"/>
          <w:sz w:val="24"/>
          <w:szCs w:val="24"/>
        </w:rPr>
        <w:t xml:space="preserve"> nel 2017</w:t>
      </w:r>
      <w:r w:rsidR="00D965C4">
        <w:rPr>
          <w:rFonts w:ascii="Arial" w:hAnsi="Arial" w:cs="Arial"/>
          <w:sz w:val="24"/>
          <w:szCs w:val="24"/>
        </w:rPr>
        <w:t>,</w:t>
      </w:r>
      <w:r w:rsidR="00397973" w:rsidRPr="00B76398">
        <w:rPr>
          <w:rFonts w:ascii="Arial" w:hAnsi="Arial" w:cs="Arial"/>
          <w:sz w:val="24"/>
          <w:szCs w:val="24"/>
        </w:rPr>
        <w:t xml:space="preserve"> 62 mila nuove imprese nel Centro-Nord, in gran parte micro imprese da 1 a 9 addetti. Solo una parte delle nuove nate, dunque, è visibile nel campione.</w:t>
      </w:r>
    </w:p>
    <w:p w:rsidR="00397973" w:rsidRPr="00B76398" w:rsidRDefault="00397973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6398">
        <w:rPr>
          <w:rFonts w:ascii="Arial" w:hAnsi="Arial" w:cs="Arial"/>
          <w:sz w:val="24"/>
          <w:szCs w:val="24"/>
        </w:rPr>
        <w:t>Le imprese che ne fanno parte hanno conti economici in buona salute: anche nel 2017, infatti, e per il quinto anno consecutivo</w:t>
      </w:r>
      <w:r w:rsidR="00B76398">
        <w:rPr>
          <w:rFonts w:ascii="Arial" w:hAnsi="Arial" w:cs="Arial"/>
          <w:sz w:val="24"/>
          <w:szCs w:val="24"/>
        </w:rPr>
        <w:t>,</w:t>
      </w:r>
      <w:r w:rsidRPr="00B76398">
        <w:rPr>
          <w:rFonts w:ascii="Arial" w:hAnsi="Arial" w:cs="Arial"/>
          <w:sz w:val="24"/>
          <w:szCs w:val="24"/>
        </w:rPr>
        <w:t xml:space="preserve"> i ricavi delle PMI del Centro Nord sono in crescita, facendo registrare i tassi più sostenuti osservati nel corso dell’ultimo decennio. L’intensità risulta leggermente più elevata al Nord (5,7%) rispetto al Centro (4,6%). Allo stesso modo, il valore aggiunto, fa registrare l’incremento maggiore degli ultimi 10 anni: gli andamenti sono particolarmente brillanti nelle regioni del Nord-Est (+5,1%).</w:t>
      </w:r>
    </w:p>
    <w:p w:rsidR="006D4FC7" w:rsidRPr="00B76398" w:rsidRDefault="00397973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6398">
        <w:rPr>
          <w:rFonts w:ascii="Arial" w:hAnsi="Arial" w:cs="Arial"/>
          <w:sz w:val="24"/>
          <w:szCs w:val="24"/>
        </w:rPr>
        <w:t>Migliora anche la redditività lorda: il Nord-Est si conferma l’area più dinamica (con un MOL cresciuto del 4,6% nel 2017), seguito dal Nord-Ovest (+4,2%), mentre più contenuta è la crescita dei margini nelle regioni del Centro (+2,2%). Nonostante il recupero degli ultimi 5 anni, il divario con i livelli di redditività lorda pre-crisi rimane significativo: il gap è particolarmente ampio nelle regioni del Centro (-37,6%), mentre è più ridotto, ma sempre molto evidente nel Nord-Ovest (-23,5%) e nel Nord-Est (-12,7%).</w:t>
      </w:r>
    </w:p>
    <w:p w:rsidR="00397973" w:rsidRPr="00B76398" w:rsidRDefault="00397973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6398">
        <w:rPr>
          <w:rFonts w:ascii="Arial" w:hAnsi="Arial" w:cs="Arial"/>
          <w:sz w:val="24"/>
          <w:szCs w:val="24"/>
        </w:rPr>
        <w:t>In rapporto al fatturato, gli utili tornano oltre i livelli pre-crisi (5,2% del fatturato nel Nord, 4,4% al Centro), grazie soprattutto al minor peso degli oneri finanziari. E continua il suo recupero la redditività netta sul capitale investito, sintetizzata dal ROE, pur restando ancora al di sotto dei livelli del 2007.</w:t>
      </w:r>
    </w:p>
    <w:p w:rsidR="00397973" w:rsidRPr="00B76398" w:rsidRDefault="004A458E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Anche se</w:t>
      </w:r>
      <w:r w:rsidR="00397973" w:rsidRPr="00B76398">
        <w:rPr>
          <w:rFonts w:ascii="Arial" w:hAnsi="Arial" w:cs="Arial"/>
          <w:sz w:val="24"/>
          <w:szCs w:val="24"/>
        </w:rPr>
        <w:t xml:space="preserve"> nel 2017 hanno ripreso cautamente a crescere (+1,7% </w:t>
      </w:r>
      <w:r w:rsidR="00D965C4">
        <w:rPr>
          <w:rFonts w:ascii="Arial" w:hAnsi="Arial" w:cs="Arial"/>
          <w:sz w:val="24"/>
          <w:szCs w:val="24"/>
        </w:rPr>
        <w:t>su base nazionale, oltre il 2% ne</w:t>
      </w:r>
      <w:r w:rsidR="00397973" w:rsidRPr="00B76398">
        <w:rPr>
          <w:rFonts w:ascii="Arial" w:hAnsi="Arial" w:cs="Arial"/>
          <w:sz w:val="24"/>
          <w:szCs w:val="24"/>
        </w:rPr>
        <w:t xml:space="preserve">l Nord-Est e nel Centro), i debiti finanziari risultano significativamente più sostenibili, essendo pari a poco più del 60% del capitale investito nelle regioni del Nord e all’80% nel Centro, </w:t>
      </w:r>
      <w:r w:rsidR="00B76398">
        <w:rPr>
          <w:rFonts w:ascii="Arial" w:hAnsi="Arial" w:cs="Arial"/>
          <w:sz w:val="24"/>
          <w:szCs w:val="24"/>
        </w:rPr>
        <w:t xml:space="preserve">con </w:t>
      </w:r>
      <w:r w:rsidR="00397973" w:rsidRPr="00B76398">
        <w:rPr>
          <w:rFonts w:ascii="Arial" w:hAnsi="Arial" w:cs="Arial"/>
          <w:sz w:val="24"/>
          <w:szCs w:val="24"/>
        </w:rPr>
        <w:t>livelli molto distanti da quelli del 2007, quando i debiti superavano abbondantemente il capitale netto. Tale rapporto è in calo proprio nel periodo più recente (tra 2016 e 2017), grazie ad un deciso incremento del capitale netto investito nelle imprese, pari all’8,9% a livello nazionale (il 5% in più dell’anno precedente), con un picco dell’11,4% nel Nord-Est.</w:t>
      </w:r>
    </w:p>
    <w:p w:rsidR="00397973" w:rsidRPr="00B76398" w:rsidRDefault="00397973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6398">
        <w:rPr>
          <w:rFonts w:ascii="Arial" w:hAnsi="Arial" w:cs="Arial"/>
          <w:sz w:val="24"/>
          <w:szCs w:val="24"/>
        </w:rPr>
        <w:t xml:space="preserve">Grazie al basso costo del denaro, anche gli oneri finanziari continuano a ridurre il proprio peso sui </w:t>
      </w:r>
      <w:r w:rsidR="00440780">
        <w:rPr>
          <w:rFonts w:ascii="Arial" w:hAnsi="Arial" w:cs="Arial"/>
          <w:sz w:val="24"/>
          <w:szCs w:val="24"/>
        </w:rPr>
        <w:t>margini</w:t>
      </w:r>
      <w:r w:rsidR="00440780" w:rsidRPr="00B76398">
        <w:rPr>
          <w:rFonts w:ascii="Arial" w:hAnsi="Arial" w:cs="Arial"/>
          <w:sz w:val="24"/>
          <w:szCs w:val="24"/>
        </w:rPr>
        <w:t xml:space="preserve"> </w:t>
      </w:r>
      <w:r w:rsidRPr="00B76398">
        <w:rPr>
          <w:rFonts w:ascii="Arial" w:hAnsi="Arial" w:cs="Arial"/>
          <w:sz w:val="24"/>
          <w:szCs w:val="24"/>
        </w:rPr>
        <w:t>delle PMI, toccando nel 2017 il minimo degli ultimi dieci anni.</w:t>
      </w:r>
    </w:p>
    <w:p w:rsidR="00397973" w:rsidRPr="00B76398" w:rsidRDefault="00397973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6398">
        <w:rPr>
          <w:rFonts w:ascii="Arial" w:hAnsi="Arial" w:cs="Arial"/>
          <w:sz w:val="24"/>
          <w:szCs w:val="24"/>
        </w:rPr>
        <w:t>Debito più sostenibile significa anche migliore affidabilità creditizia: nel 2018, le PMI sicure o solvibili sono oltre il 70% nel Nord, e poco meno del 60% al Centro. Inoltre, in tutte le aree analizzate, il numero di PMI con un upgrade della propria classe di rischio tra fine 2017 e fine 2018 supera quello di PMI con un downgrade.</w:t>
      </w:r>
    </w:p>
    <w:p w:rsidR="00397973" w:rsidRPr="00B76398" w:rsidRDefault="00397973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6398">
        <w:rPr>
          <w:rFonts w:ascii="Arial" w:hAnsi="Arial" w:cs="Arial"/>
          <w:sz w:val="24"/>
          <w:szCs w:val="24"/>
        </w:rPr>
        <w:t xml:space="preserve">Particolarmente lusinghieri sono i risultati delle PMI industriali, il cui numero torna a crescere in maniera decisa, in particolare al Centro (+10,7%), e con una intensità minore, ma comunque consistente, nel Nord-Est (+5,6%) e nel Nord-Ovest (+4,2%). Grazie al positivo trend di crescita, </w:t>
      </w:r>
      <w:r w:rsidR="00844A39">
        <w:rPr>
          <w:rFonts w:ascii="Arial" w:hAnsi="Arial" w:cs="Arial"/>
          <w:sz w:val="24"/>
          <w:szCs w:val="24"/>
        </w:rPr>
        <w:t xml:space="preserve">queste due macro aree </w:t>
      </w:r>
      <w:r w:rsidRPr="00B76398">
        <w:rPr>
          <w:rFonts w:ascii="Arial" w:hAnsi="Arial" w:cs="Arial"/>
          <w:sz w:val="24"/>
          <w:szCs w:val="24"/>
        </w:rPr>
        <w:t xml:space="preserve">hanno quasi recuperato i livelli pre-crisi (-2,8%), mentre rimane ampio il gap per le regioni del Centro (-6,3%). </w:t>
      </w:r>
    </w:p>
    <w:p w:rsidR="00397973" w:rsidRPr="00B76398" w:rsidRDefault="00397973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6398">
        <w:rPr>
          <w:rFonts w:ascii="Arial" w:hAnsi="Arial" w:cs="Arial"/>
          <w:sz w:val="24"/>
          <w:szCs w:val="24"/>
        </w:rPr>
        <w:t xml:space="preserve">Il ripopolamento della manifattura è coinciso con un </w:t>
      </w:r>
      <w:r w:rsidR="00440780">
        <w:rPr>
          <w:rFonts w:ascii="Arial" w:hAnsi="Arial" w:cs="Arial"/>
          <w:sz w:val="24"/>
          <w:szCs w:val="24"/>
        </w:rPr>
        <w:t>andamento</w:t>
      </w:r>
      <w:r w:rsidR="00440780" w:rsidRPr="00B76398">
        <w:rPr>
          <w:rFonts w:ascii="Arial" w:hAnsi="Arial" w:cs="Arial"/>
          <w:sz w:val="24"/>
          <w:szCs w:val="24"/>
        </w:rPr>
        <w:t xml:space="preserve"> </w:t>
      </w:r>
      <w:r w:rsidRPr="00B76398">
        <w:rPr>
          <w:rFonts w:ascii="Arial" w:hAnsi="Arial" w:cs="Arial"/>
          <w:sz w:val="24"/>
          <w:szCs w:val="24"/>
        </w:rPr>
        <w:t>dei conti economici, anche miglior</w:t>
      </w:r>
      <w:r w:rsidR="00440780">
        <w:rPr>
          <w:rFonts w:ascii="Arial" w:hAnsi="Arial" w:cs="Arial"/>
          <w:sz w:val="24"/>
          <w:szCs w:val="24"/>
        </w:rPr>
        <w:t>e</w:t>
      </w:r>
      <w:r w:rsidRPr="00B76398">
        <w:rPr>
          <w:rFonts w:ascii="Arial" w:hAnsi="Arial" w:cs="Arial"/>
          <w:sz w:val="24"/>
          <w:szCs w:val="24"/>
        </w:rPr>
        <w:t xml:space="preserve"> di quelli del resto delle PMI. Rispetto al 2016, i ricavi crescono nel Nord-Est (+6,4%), nel Nord-Ovest (+5,9%) e nel Centro (+4,6%), recuperando in quasi tutte le regioni i valori pre-crisi. Crescono anche i margini, ben più di quelli del complesso delle PMI, soprattutto nel Nord-Ovest (+7,4%), pur restando ancora al di sotto dei livelli del 2007. Migliora anche la solidità finanziaria delle PMI industriali, con debiti dimezzati rispetto al periodo </w:t>
      </w:r>
      <w:proofErr w:type="spellStart"/>
      <w:r w:rsidRPr="00B76398">
        <w:rPr>
          <w:rFonts w:ascii="Arial" w:hAnsi="Arial" w:cs="Arial"/>
          <w:sz w:val="24"/>
          <w:szCs w:val="24"/>
        </w:rPr>
        <w:t>precrisi</w:t>
      </w:r>
      <w:proofErr w:type="spellEnd"/>
      <w:r w:rsidRPr="00B76398">
        <w:rPr>
          <w:rFonts w:ascii="Arial" w:hAnsi="Arial" w:cs="Arial"/>
          <w:sz w:val="24"/>
          <w:szCs w:val="24"/>
        </w:rPr>
        <w:t xml:space="preserve"> (anche grazie ad una robusta patrimonializzazione) e la loro affidabilità (soprattutto al Nord, con oltre il 70% delle PMI sicure o solvibili, ed un po’ meno al Centro, in cui le imprese industriali più affidabili sono poco meno del 60% del totale).</w:t>
      </w:r>
    </w:p>
    <w:p w:rsidR="00397973" w:rsidRPr="00B76398" w:rsidRDefault="00397973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6398">
        <w:rPr>
          <w:rFonts w:ascii="Arial" w:hAnsi="Arial" w:cs="Arial"/>
          <w:sz w:val="24"/>
          <w:szCs w:val="24"/>
        </w:rPr>
        <w:t xml:space="preserve">Pure in un contesto di generalizzato miglioramento dei conti economici e della sostenibilità finanziaria </w:t>
      </w:r>
      <w:r w:rsidR="00A25618">
        <w:rPr>
          <w:rFonts w:ascii="Arial" w:hAnsi="Arial" w:cs="Arial"/>
          <w:sz w:val="24"/>
          <w:szCs w:val="24"/>
        </w:rPr>
        <w:t xml:space="preserve">che beneficia di una </w:t>
      </w:r>
      <w:r w:rsidRPr="00B76398">
        <w:rPr>
          <w:rFonts w:ascii="Arial" w:hAnsi="Arial" w:cs="Arial"/>
          <w:sz w:val="24"/>
          <w:szCs w:val="24"/>
        </w:rPr>
        <w:t xml:space="preserve">patrimonializzazione crescente e </w:t>
      </w:r>
      <w:r w:rsidR="00A25618">
        <w:rPr>
          <w:rFonts w:ascii="Arial" w:hAnsi="Arial" w:cs="Arial"/>
          <w:sz w:val="24"/>
          <w:szCs w:val="24"/>
        </w:rPr>
        <w:t xml:space="preserve">di un </w:t>
      </w:r>
      <w:r w:rsidRPr="00B76398">
        <w:rPr>
          <w:rFonts w:ascii="Arial" w:hAnsi="Arial" w:cs="Arial"/>
          <w:sz w:val="24"/>
          <w:szCs w:val="24"/>
        </w:rPr>
        <w:t>minor peso degli oneri finanziari, le differenze regionali si mantengono significative. La Lombardia si conferma la regione con i numeri assoluti più consistenti, mentre Trentino Alto Adige, Piemonte, Emilia Romagna e Veneto si segnalano come le regioni con le migliori performance di medio periodo. Meno buoni, ma comunque in miglioramento, sono i risultati delle PMI del Centro: Umbria e Lazio sono le uniche due regioni in cui il livello del fatturato è ancora inferiore ai livelli del 2007.</w:t>
      </w:r>
    </w:p>
    <w:p w:rsidR="00397973" w:rsidRPr="00B76398" w:rsidRDefault="00397973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6398">
        <w:rPr>
          <w:rFonts w:ascii="Arial" w:hAnsi="Arial" w:cs="Arial"/>
          <w:sz w:val="24"/>
          <w:szCs w:val="24"/>
        </w:rPr>
        <w:t>Se</w:t>
      </w:r>
      <w:r w:rsidR="00D965C4">
        <w:rPr>
          <w:rFonts w:ascii="Arial" w:hAnsi="Arial" w:cs="Arial"/>
          <w:sz w:val="24"/>
          <w:szCs w:val="24"/>
        </w:rPr>
        <w:t xml:space="preserve"> tuttavia,</w:t>
      </w:r>
      <w:r w:rsidRPr="00B76398">
        <w:rPr>
          <w:rFonts w:ascii="Arial" w:hAnsi="Arial" w:cs="Arial"/>
          <w:sz w:val="24"/>
          <w:szCs w:val="24"/>
        </w:rPr>
        <w:t xml:space="preserve"> fino al 2017</w:t>
      </w:r>
      <w:r w:rsidR="00D965C4">
        <w:rPr>
          <w:rFonts w:ascii="Arial" w:hAnsi="Arial" w:cs="Arial"/>
          <w:sz w:val="24"/>
          <w:szCs w:val="24"/>
        </w:rPr>
        <w:t>,</w:t>
      </w:r>
      <w:r w:rsidRPr="00B76398">
        <w:rPr>
          <w:rFonts w:ascii="Arial" w:hAnsi="Arial" w:cs="Arial"/>
          <w:sz w:val="24"/>
          <w:szCs w:val="24"/>
        </w:rPr>
        <w:t xml:space="preserve"> tutti gli indicatori monitorati nel Rapporto indicano una tendenza al miglioramento, gli ultimi mesi del 2018 vedono suonare alcuni primi, significativi campanelli di allarme per le </w:t>
      </w:r>
      <w:r w:rsidR="00844A39">
        <w:rPr>
          <w:rFonts w:ascii="Arial" w:hAnsi="Arial" w:cs="Arial"/>
          <w:sz w:val="24"/>
          <w:szCs w:val="24"/>
        </w:rPr>
        <w:t>PMI del Centro-</w:t>
      </w:r>
      <w:r w:rsidRPr="00B76398">
        <w:rPr>
          <w:rFonts w:ascii="Arial" w:hAnsi="Arial" w:cs="Arial"/>
          <w:sz w:val="24"/>
          <w:szCs w:val="24"/>
        </w:rPr>
        <w:t>Nord</w:t>
      </w:r>
      <w:r w:rsidR="00844A39">
        <w:rPr>
          <w:rFonts w:ascii="Arial" w:hAnsi="Arial" w:cs="Arial"/>
          <w:sz w:val="24"/>
          <w:szCs w:val="24"/>
        </w:rPr>
        <w:t>,</w:t>
      </w:r>
      <w:r w:rsidRPr="00B76398">
        <w:rPr>
          <w:rFonts w:ascii="Arial" w:hAnsi="Arial" w:cs="Arial"/>
          <w:sz w:val="24"/>
          <w:szCs w:val="24"/>
        </w:rPr>
        <w:t xml:space="preserve"> peraltro in maniera non uniforme sul territorio.</w:t>
      </w:r>
    </w:p>
    <w:p w:rsidR="00397973" w:rsidRPr="00B76398" w:rsidRDefault="00397973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6398">
        <w:rPr>
          <w:rFonts w:ascii="Arial" w:hAnsi="Arial" w:cs="Arial"/>
          <w:sz w:val="24"/>
          <w:szCs w:val="24"/>
        </w:rPr>
        <w:t>Nel Nord-Ovest tornano</w:t>
      </w:r>
      <w:r w:rsidR="00844A39">
        <w:rPr>
          <w:rFonts w:ascii="Arial" w:hAnsi="Arial" w:cs="Arial"/>
          <w:sz w:val="24"/>
          <w:szCs w:val="24"/>
        </w:rPr>
        <w:t>, infatti,</w:t>
      </w:r>
      <w:r w:rsidRPr="00B76398">
        <w:rPr>
          <w:rFonts w:ascii="Arial" w:hAnsi="Arial" w:cs="Arial"/>
          <w:sz w:val="24"/>
          <w:szCs w:val="24"/>
        </w:rPr>
        <w:t xml:space="preserve"> ad aumentare i fallimenti e le liquidazioni volontarie, che crescono anche nel Centro: si allungano, per la prima volta dopo 5 anni, i tempi di pagamento (anche per le PMI industriali) e aumentano le società che pagano le loro fatture con più di due mesi di ritardo, con situazioni di maggiori difficoltà nel Lazio e in Umbria. </w:t>
      </w:r>
    </w:p>
    <w:p w:rsidR="00397973" w:rsidRPr="00B76398" w:rsidRDefault="00844A39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stime su</w:t>
      </w:r>
      <w:r w:rsidR="00397973" w:rsidRPr="00B76398">
        <w:rPr>
          <w:rFonts w:ascii="Arial" w:hAnsi="Arial" w:cs="Arial"/>
          <w:sz w:val="24"/>
          <w:szCs w:val="24"/>
        </w:rPr>
        <w:t>ll’andamento dei principali indicatori di bilancio per il 2018 confermano la frenata: in tutte le aree monitorate, rallenta significativamente la crescita del fatturato, del valore aggiunto, del MOL. Tale frenata rischia peraltro di non essere di breve durata</w:t>
      </w:r>
      <w:r w:rsidR="00440780">
        <w:rPr>
          <w:rFonts w:ascii="Arial" w:hAnsi="Arial" w:cs="Arial"/>
          <w:sz w:val="24"/>
          <w:szCs w:val="24"/>
        </w:rPr>
        <w:t>.</w:t>
      </w:r>
      <w:r w:rsidR="00397973" w:rsidRPr="00B76398">
        <w:rPr>
          <w:rFonts w:ascii="Arial" w:hAnsi="Arial" w:cs="Arial"/>
          <w:sz w:val="24"/>
          <w:szCs w:val="24"/>
        </w:rPr>
        <w:t xml:space="preserve"> </w:t>
      </w:r>
      <w:r w:rsidR="00440780">
        <w:rPr>
          <w:rFonts w:ascii="Arial" w:hAnsi="Arial" w:cs="Arial"/>
          <w:sz w:val="24"/>
          <w:szCs w:val="24"/>
        </w:rPr>
        <w:lastRenderedPageBreak/>
        <w:t>S</w:t>
      </w:r>
      <w:r w:rsidR="00397973" w:rsidRPr="00B76398">
        <w:rPr>
          <w:rFonts w:ascii="Arial" w:hAnsi="Arial" w:cs="Arial"/>
          <w:sz w:val="24"/>
          <w:szCs w:val="24"/>
        </w:rPr>
        <w:t>econdo le previsioni di Confindustria e Cerved, nel 2019 la crescita di fatturato e valore aggiunto de</w:t>
      </w:r>
      <w:r>
        <w:rPr>
          <w:rFonts w:ascii="Arial" w:hAnsi="Arial" w:cs="Arial"/>
          <w:sz w:val="24"/>
          <w:szCs w:val="24"/>
        </w:rPr>
        <w:t>l</w:t>
      </w:r>
      <w:r w:rsidR="00397973" w:rsidRPr="00B76398">
        <w:rPr>
          <w:rFonts w:ascii="Arial" w:hAnsi="Arial" w:cs="Arial"/>
          <w:sz w:val="24"/>
          <w:szCs w:val="24"/>
        </w:rPr>
        <w:t>le PMI analizzate dovrebbe dimezzarsi, con conseguenze evidenti sulla redditività: i margini dovrebbero crescere con tassi intorno all’1% e la redditività netta tornerebbe a contrarsi. Solo nel 2020 è prevista una debole ripresa degli indici.</w:t>
      </w:r>
    </w:p>
    <w:p w:rsidR="00397973" w:rsidRPr="00B76398" w:rsidRDefault="00397973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6398">
        <w:rPr>
          <w:rFonts w:ascii="Arial" w:hAnsi="Arial" w:cs="Arial"/>
          <w:sz w:val="24"/>
          <w:szCs w:val="24"/>
        </w:rPr>
        <w:t>In questo quadro di crescente debolezza congiunturale, il rapporto approfondisce tre possibili percorsi per il recupero di livelli più elevati di competitività: la capitalizzazione e la crescita dimensionale; l’apertura del capitale aziendale; la propensione all’esportazione. Ricette che sembrano particolarmente indicate per le imprese familiari, che costituiscono tuttora (con 100 mila imprese su 150 mila</w:t>
      </w:r>
      <w:r w:rsidR="00844A39">
        <w:rPr>
          <w:rFonts w:ascii="Arial" w:hAnsi="Arial" w:cs="Arial"/>
          <w:sz w:val="24"/>
          <w:szCs w:val="24"/>
        </w:rPr>
        <w:t>)</w:t>
      </w:r>
      <w:r w:rsidRPr="00B76398">
        <w:rPr>
          <w:rFonts w:ascii="Arial" w:hAnsi="Arial" w:cs="Arial"/>
          <w:sz w:val="24"/>
          <w:szCs w:val="24"/>
        </w:rPr>
        <w:t xml:space="preserve"> la tipologia d’impresa prevalente, anche nelle regioni del Centro-Nord.</w:t>
      </w:r>
    </w:p>
    <w:p w:rsidR="00397973" w:rsidRPr="00B76398" w:rsidRDefault="00397973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6398">
        <w:rPr>
          <w:rFonts w:ascii="Arial" w:hAnsi="Arial" w:cs="Arial"/>
          <w:sz w:val="24"/>
          <w:szCs w:val="24"/>
        </w:rPr>
        <w:t>L’ “apertura” di queste imprese all’apporto di capitali esterni può rappresentare una grande opportunità di crescita: molte di loro, infatti, possono essere classificate come “eccellenti”, con un potenziale di crescita inespresso eppure molto rilevante.</w:t>
      </w:r>
    </w:p>
    <w:p w:rsidR="00397973" w:rsidRPr="00B76398" w:rsidRDefault="00397973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6398">
        <w:rPr>
          <w:rFonts w:ascii="Arial" w:hAnsi="Arial" w:cs="Arial"/>
          <w:sz w:val="24"/>
          <w:szCs w:val="24"/>
        </w:rPr>
        <w:t xml:space="preserve">Nel bacino delle </w:t>
      </w:r>
      <w:r w:rsidR="00440780">
        <w:rPr>
          <w:rFonts w:ascii="Arial" w:hAnsi="Arial" w:cs="Arial"/>
          <w:sz w:val="24"/>
          <w:szCs w:val="24"/>
        </w:rPr>
        <w:t>oltre</w:t>
      </w:r>
      <w:bookmarkStart w:id="0" w:name="_GoBack"/>
      <w:bookmarkEnd w:id="0"/>
      <w:r w:rsidR="00440780" w:rsidRPr="00B76398">
        <w:rPr>
          <w:rFonts w:ascii="Arial" w:hAnsi="Arial" w:cs="Arial"/>
          <w:sz w:val="24"/>
          <w:szCs w:val="24"/>
        </w:rPr>
        <w:t xml:space="preserve"> </w:t>
      </w:r>
      <w:r w:rsidRPr="00B76398">
        <w:rPr>
          <w:rFonts w:ascii="Arial" w:hAnsi="Arial" w:cs="Arial"/>
          <w:sz w:val="24"/>
          <w:szCs w:val="24"/>
        </w:rPr>
        <w:t>100 mila PMI di capitali del Centro-Nord sono state individuate</w:t>
      </w:r>
      <w:r w:rsidR="00844A39">
        <w:rPr>
          <w:rFonts w:ascii="Arial" w:hAnsi="Arial" w:cs="Arial"/>
          <w:sz w:val="24"/>
          <w:szCs w:val="24"/>
        </w:rPr>
        <w:t xml:space="preserve"> </w:t>
      </w:r>
      <w:r w:rsidRPr="00B76398">
        <w:rPr>
          <w:rFonts w:ascii="Arial" w:hAnsi="Arial" w:cs="Arial"/>
          <w:sz w:val="24"/>
          <w:szCs w:val="24"/>
        </w:rPr>
        <w:t xml:space="preserve">poco meno di 3.500 imprese che hanno caratteristiche compatibili con l’acquisizione da parte di un fondo di private </w:t>
      </w:r>
      <w:proofErr w:type="spellStart"/>
      <w:r w:rsidRPr="00B76398">
        <w:rPr>
          <w:rFonts w:ascii="Arial" w:hAnsi="Arial" w:cs="Arial"/>
          <w:sz w:val="24"/>
          <w:szCs w:val="24"/>
        </w:rPr>
        <w:t>equity</w:t>
      </w:r>
      <w:proofErr w:type="spellEnd"/>
      <w:r w:rsidRPr="00B76398">
        <w:rPr>
          <w:rFonts w:ascii="Arial" w:hAnsi="Arial" w:cs="Arial"/>
          <w:sz w:val="24"/>
          <w:szCs w:val="24"/>
        </w:rPr>
        <w:t xml:space="preserve"> (per crescita dei ricavi, profitti e generazione di cassa), e oltre 500 che hanno caratteristiche finanziarie, di </w:t>
      </w:r>
      <w:proofErr w:type="spellStart"/>
      <w:r w:rsidRPr="00B76398">
        <w:rPr>
          <w:rFonts w:ascii="Arial" w:hAnsi="Arial" w:cs="Arial"/>
          <w:i/>
          <w:sz w:val="24"/>
          <w:szCs w:val="24"/>
        </w:rPr>
        <w:t>governance</w:t>
      </w:r>
      <w:proofErr w:type="spellEnd"/>
      <w:r w:rsidRPr="00B76398">
        <w:rPr>
          <w:rFonts w:ascii="Arial" w:hAnsi="Arial" w:cs="Arial"/>
          <w:sz w:val="24"/>
          <w:szCs w:val="24"/>
        </w:rPr>
        <w:t xml:space="preserve"> e </w:t>
      </w:r>
      <w:r w:rsidRPr="00B76398">
        <w:rPr>
          <w:rFonts w:ascii="Arial" w:hAnsi="Arial" w:cs="Arial"/>
          <w:i/>
          <w:sz w:val="24"/>
          <w:szCs w:val="24"/>
        </w:rPr>
        <w:t>leadership</w:t>
      </w:r>
      <w:r w:rsidRPr="00B76398">
        <w:rPr>
          <w:rFonts w:ascii="Arial" w:hAnsi="Arial" w:cs="Arial"/>
          <w:sz w:val="24"/>
          <w:szCs w:val="24"/>
        </w:rPr>
        <w:t xml:space="preserve"> molto simili a quelle delle società già quotate, per un totale di oltre 4.000 imprese “eccellenti”. </w:t>
      </w:r>
    </w:p>
    <w:p w:rsidR="00397973" w:rsidRPr="00B76398" w:rsidRDefault="00397973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6398">
        <w:rPr>
          <w:rFonts w:ascii="Arial" w:hAnsi="Arial" w:cs="Arial"/>
          <w:sz w:val="24"/>
          <w:szCs w:val="24"/>
        </w:rPr>
        <w:t>Gli effetti sul PIL di una apertura del loro capitale a queste iniezioni di liquidità sarebbero assai significativi, potenzialmente quantificabili nel medio periodo fino a 3,7 punti percentuali in media nazionale, ed anche più elevati nelle regioni del Centro-Nord dove la presenza imprenditoriale è più significativa (+4,3% nel Nord-Est, +3,9% nel Nord-Ovest): più contenuto, ma sempre rilevante (attorno al 3%), nelle regioni del Centro.</w:t>
      </w:r>
    </w:p>
    <w:p w:rsidR="00397973" w:rsidRPr="00B76398" w:rsidRDefault="00397973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6398">
        <w:rPr>
          <w:rFonts w:ascii="Arial" w:hAnsi="Arial" w:cs="Arial"/>
          <w:sz w:val="24"/>
          <w:szCs w:val="24"/>
        </w:rPr>
        <w:t>Come pure rilevanti sarebbero gli effetti sull’economia di un ampliamento del club delle imprese a forte vocazione internazionale, se è vero che esse registrano risultati di bilancio (oneri finanziari, redditività, liquidità) sistematicamente migliori di quelli del complesso delle PMI e, in particolare, una crescita del valore aggiunto tra 2009 e 2017 di oltre 10 punti in media superiore a quella del complesso delle PMI.</w:t>
      </w:r>
    </w:p>
    <w:p w:rsidR="00397973" w:rsidRDefault="00397973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B76398">
        <w:rPr>
          <w:rFonts w:ascii="Arial" w:hAnsi="Arial" w:cs="Arial"/>
          <w:sz w:val="24"/>
          <w:szCs w:val="24"/>
        </w:rPr>
        <w:t>Lo scenario economico davanti a cui si trovano le PMI del Centro Nord inizia</w:t>
      </w:r>
      <w:r w:rsidR="00844A39">
        <w:rPr>
          <w:rFonts w:ascii="Arial" w:hAnsi="Arial" w:cs="Arial"/>
          <w:sz w:val="24"/>
          <w:szCs w:val="24"/>
        </w:rPr>
        <w:t>, du</w:t>
      </w:r>
      <w:r w:rsidR="003C4F95">
        <w:rPr>
          <w:rFonts w:ascii="Arial" w:hAnsi="Arial" w:cs="Arial"/>
          <w:sz w:val="24"/>
          <w:szCs w:val="24"/>
        </w:rPr>
        <w:t>n</w:t>
      </w:r>
      <w:r w:rsidR="00844A39">
        <w:rPr>
          <w:rFonts w:ascii="Arial" w:hAnsi="Arial" w:cs="Arial"/>
          <w:sz w:val="24"/>
          <w:szCs w:val="24"/>
        </w:rPr>
        <w:t>que,</w:t>
      </w:r>
      <w:r w:rsidRPr="00B76398">
        <w:rPr>
          <w:rFonts w:ascii="Arial" w:hAnsi="Arial" w:cs="Arial"/>
          <w:sz w:val="24"/>
          <w:szCs w:val="24"/>
        </w:rPr>
        <w:t xml:space="preserve"> a farsi più incerto, e il ritmo con cui i risultati economici degli ultimi anni si consolidano diventa sempre più lento. Nel Centro-Nord, come in tutto il paese, servono </w:t>
      </w:r>
      <w:r w:rsidR="00844A39">
        <w:rPr>
          <w:rFonts w:ascii="Arial" w:hAnsi="Arial" w:cs="Arial"/>
          <w:sz w:val="24"/>
          <w:szCs w:val="24"/>
        </w:rPr>
        <w:t xml:space="preserve">perciò </w:t>
      </w:r>
      <w:r w:rsidRPr="00B76398">
        <w:rPr>
          <w:rFonts w:ascii="Arial" w:hAnsi="Arial" w:cs="Arial"/>
          <w:sz w:val="24"/>
          <w:szCs w:val="24"/>
        </w:rPr>
        <w:t>più imprese eccellenti, cioè più robuste, più capitalizzate, più aperte e più internazionalizzate, per premere di nuovo sull’acceleratore.</w:t>
      </w:r>
      <w:r w:rsidR="00844A39">
        <w:rPr>
          <w:rFonts w:ascii="Arial" w:hAnsi="Arial" w:cs="Arial"/>
          <w:sz w:val="24"/>
          <w:szCs w:val="24"/>
        </w:rPr>
        <w:t xml:space="preserve"> E una politica economica che torni a considerarle come il principale motore del benessere e della ricchezza del Paese.</w:t>
      </w:r>
    </w:p>
    <w:p w:rsidR="00223869" w:rsidRDefault="00223869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223869" w:rsidRDefault="00223869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223869" w:rsidRDefault="00223869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223869" w:rsidRDefault="00223869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223869" w:rsidRDefault="00223869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223869" w:rsidRDefault="00223869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223869" w:rsidRDefault="00223869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223869" w:rsidRDefault="00223869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223869" w:rsidRDefault="00223869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223869" w:rsidRDefault="00223869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223869" w:rsidRPr="00223869" w:rsidRDefault="00D24072" w:rsidP="00B76398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</w:t>
      </w:r>
      <w:r w:rsidR="00223869" w:rsidRPr="00223869">
        <w:rPr>
          <w:rFonts w:ascii="Arial" w:hAnsi="Arial" w:cs="Arial"/>
        </w:rPr>
        <w:t>Il sistema delle PMI del Centro-Nord</w:t>
      </w:r>
    </w:p>
    <w:p w:rsidR="00223869" w:rsidRDefault="00223869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114415" cy="3300095"/>
            <wp:effectExtent l="19050" t="0" r="635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30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869" w:rsidRPr="00223869" w:rsidRDefault="00223869" w:rsidP="00B7639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223869">
        <w:rPr>
          <w:rFonts w:ascii="Arial" w:hAnsi="Arial" w:cs="Arial"/>
          <w:sz w:val="18"/>
          <w:szCs w:val="18"/>
        </w:rPr>
        <w:t>Fonte: Elaborazione Confindustria e Cerved</w:t>
      </w:r>
    </w:p>
    <w:p w:rsidR="00223869" w:rsidRDefault="00223869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223869" w:rsidRDefault="00223869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223869" w:rsidRDefault="00223869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223869" w:rsidRDefault="003A281A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PMI del Centro-Nord</w:t>
      </w:r>
    </w:p>
    <w:p w:rsidR="00223869" w:rsidRDefault="003A281A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114415" cy="3021330"/>
            <wp:effectExtent l="19050" t="0" r="635" b="0"/>
            <wp:docPr id="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02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81A" w:rsidRPr="00223869" w:rsidRDefault="003A281A" w:rsidP="003A281A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223869">
        <w:rPr>
          <w:rFonts w:ascii="Arial" w:hAnsi="Arial" w:cs="Arial"/>
          <w:sz w:val="18"/>
          <w:szCs w:val="18"/>
        </w:rPr>
        <w:t>Fonte: Elaborazione Confindustria e Cerved</w:t>
      </w:r>
    </w:p>
    <w:p w:rsidR="003A281A" w:rsidRDefault="003A281A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A281A" w:rsidRDefault="003A281A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A281A" w:rsidRDefault="003A281A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A281A" w:rsidRDefault="003A281A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A281A" w:rsidRPr="003A281A" w:rsidRDefault="003A281A" w:rsidP="003A281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A281A">
        <w:rPr>
          <w:rFonts w:ascii="Arial" w:hAnsi="Arial" w:cs="Arial"/>
          <w:sz w:val="24"/>
          <w:szCs w:val="24"/>
        </w:rPr>
        <w:lastRenderedPageBreak/>
        <w:t>Andamento del fatturato e del valore</w:t>
      </w:r>
      <w:r>
        <w:rPr>
          <w:rFonts w:ascii="Arial" w:hAnsi="Arial" w:cs="Arial"/>
          <w:sz w:val="24"/>
          <w:szCs w:val="24"/>
        </w:rPr>
        <w:t xml:space="preserve"> </w:t>
      </w:r>
      <w:r w:rsidRPr="003A281A">
        <w:rPr>
          <w:rFonts w:ascii="Arial" w:hAnsi="Arial" w:cs="Arial"/>
          <w:sz w:val="24"/>
          <w:szCs w:val="24"/>
        </w:rPr>
        <w:t>aggiunto per le PMI del Centro-Nord</w:t>
      </w:r>
    </w:p>
    <w:p w:rsidR="003A281A" w:rsidRDefault="003A281A" w:rsidP="003A281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Roboto-MediumItalic" w:eastAsiaTheme="minorHAnsi" w:hAnsi="Roboto-MediumItalic" w:cs="Roboto-MediumItalic"/>
          <w:i/>
          <w:iCs/>
          <w:color w:val="000000"/>
          <w:sz w:val="16"/>
          <w:szCs w:val="16"/>
          <w:lang w:eastAsia="en-US"/>
        </w:rPr>
        <w:t>(tasso di crescita % a/a)</w:t>
      </w:r>
    </w:p>
    <w:p w:rsidR="003A281A" w:rsidRDefault="003A281A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A281A" w:rsidRDefault="003A281A" w:rsidP="00B7639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021811" cy="3069203"/>
            <wp:effectExtent l="19050" t="0" r="7389" b="0"/>
            <wp:docPr id="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633" cy="3071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81A" w:rsidRDefault="003A281A" w:rsidP="003A281A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223869">
        <w:rPr>
          <w:rFonts w:ascii="Arial" w:hAnsi="Arial" w:cs="Arial"/>
          <w:sz w:val="18"/>
          <w:szCs w:val="18"/>
        </w:rPr>
        <w:t>Fonte: Elaborazione Confindustria e Cerved</w:t>
      </w:r>
    </w:p>
    <w:p w:rsidR="003A281A" w:rsidRDefault="003A281A" w:rsidP="003A281A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:rsidR="003A281A" w:rsidRDefault="003A281A" w:rsidP="003A281A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:rsidR="003A281A" w:rsidRPr="003A281A" w:rsidRDefault="003A281A" w:rsidP="003A281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A281A">
        <w:rPr>
          <w:rFonts w:ascii="Arial" w:hAnsi="Arial" w:cs="Arial"/>
          <w:sz w:val="24"/>
          <w:szCs w:val="24"/>
        </w:rPr>
        <w:t>Redditività e utili</w:t>
      </w:r>
      <w:r w:rsidR="00586862">
        <w:rPr>
          <w:rFonts w:ascii="Arial" w:hAnsi="Arial" w:cs="Arial"/>
          <w:sz w:val="24"/>
          <w:szCs w:val="24"/>
        </w:rPr>
        <w:t xml:space="preserve"> delle PMI del Centro-Nord</w:t>
      </w:r>
    </w:p>
    <w:p w:rsidR="003A281A" w:rsidRDefault="003A281A" w:rsidP="003A281A">
      <w:pPr>
        <w:tabs>
          <w:tab w:val="left" w:pos="16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743392" cy="2957886"/>
            <wp:effectExtent l="19050" t="0" r="0" b="0"/>
            <wp:docPr id="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818" cy="295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81A" w:rsidRDefault="003A281A" w:rsidP="003A281A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223869">
        <w:rPr>
          <w:rFonts w:ascii="Arial" w:hAnsi="Arial" w:cs="Arial"/>
          <w:sz w:val="18"/>
          <w:szCs w:val="18"/>
        </w:rPr>
        <w:t>Fonte: Elaborazione Confindustria e Cerved</w:t>
      </w:r>
    </w:p>
    <w:p w:rsidR="003A281A" w:rsidRDefault="003A281A" w:rsidP="003A281A">
      <w:pPr>
        <w:tabs>
          <w:tab w:val="left" w:pos="1665"/>
        </w:tabs>
        <w:rPr>
          <w:rFonts w:ascii="Arial" w:hAnsi="Arial" w:cs="Arial"/>
          <w:sz w:val="24"/>
          <w:szCs w:val="24"/>
        </w:rPr>
      </w:pPr>
    </w:p>
    <w:p w:rsidR="004924B3" w:rsidRDefault="004924B3" w:rsidP="003A281A">
      <w:pPr>
        <w:tabs>
          <w:tab w:val="left" w:pos="1665"/>
        </w:tabs>
        <w:rPr>
          <w:rFonts w:ascii="Arial" w:hAnsi="Arial" w:cs="Arial"/>
          <w:sz w:val="24"/>
          <w:szCs w:val="24"/>
        </w:rPr>
      </w:pPr>
    </w:p>
    <w:p w:rsidR="004924B3" w:rsidRDefault="004924B3" w:rsidP="003A281A">
      <w:pPr>
        <w:tabs>
          <w:tab w:val="left" w:pos="1665"/>
        </w:tabs>
        <w:rPr>
          <w:rFonts w:ascii="Arial" w:hAnsi="Arial" w:cs="Arial"/>
          <w:sz w:val="24"/>
          <w:szCs w:val="24"/>
        </w:rPr>
      </w:pPr>
    </w:p>
    <w:p w:rsidR="004924B3" w:rsidRDefault="004924B3" w:rsidP="003A281A">
      <w:pPr>
        <w:tabs>
          <w:tab w:val="left" w:pos="16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Debiti finanziari e del capitale netto</w:t>
      </w:r>
      <w:r w:rsidR="00586862">
        <w:rPr>
          <w:rFonts w:ascii="Arial" w:hAnsi="Arial" w:cs="Arial"/>
          <w:sz w:val="24"/>
          <w:szCs w:val="24"/>
        </w:rPr>
        <w:t xml:space="preserve"> delle PMI del Centro-Nord</w:t>
      </w:r>
    </w:p>
    <w:p w:rsidR="004924B3" w:rsidRDefault="004924B3" w:rsidP="003A281A">
      <w:pPr>
        <w:tabs>
          <w:tab w:val="left" w:pos="16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114415" cy="3379470"/>
            <wp:effectExtent l="19050" t="0" r="635" b="0"/>
            <wp:docPr id="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37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B7C" w:rsidRDefault="006E7B7C" w:rsidP="006E7B7C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223869">
        <w:rPr>
          <w:rFonts w:ascii="Arial" w:hAnsi="Arial" w:cs="Arial"/>
          <w:sz w:val="18"/>
          <w:szCs w:val="18"/>
        </w:rPr>
        <w:t>Fonte: Elaborazione Confindustria e Cerved</w:t>
      </w:r>
    </w:p>
    <w:p w:rsidR="004924B3" w:rsidRDefault="004924B3" w:rsidP="003A281A">
      <w:pPr>
        <w:tabs>
          <w:tab w:val="left" w:pos="1665"/>
        </w:tabs>
        <w:rPr>
          <w:rFonts w:ascii="Arial" w:hAnsi="Arial" w:cs="Arial"/>
          <w:sz w:val="24"/>
          <w:szCs w:val="24"/>
        </w:rPr>
      </w:pPr>
    </w:p>
    <w:p w:rsidR="006E7B7C" w:rsidRPr="006E7B7C" w:rsidRDefault="006E7B7C" w:rsidP="006E7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7B7C">
        <w:rPr>
          <w:rFonts w:ascii="Arial" w:hAnsi="Arial" w:cs="Arial"/>
          <w:sz w:val="24"/>
          <w:szCs w:val="24"/>
        </w:rPr>
        <w:t>Andamento del fatturato e del MOL delle PMI dell'industria</w:t>
      </w:r>
      <w:r w:rsidR="00544A29">
        <w:rPr>
          <w:rFonts w:ascii="Arial" w:hAnsi="Arial" w:cs="Arial"/>
          <w:sz w:val="24"/>
          <w:szCs w:val="24"/>
        </w:rPr>
        <w:t xml:space="preserve"> del Centro-Nord</w:t>
      </w:r>
    </w:p>
    <w:p w:rsidR="006E7B7C" w:rsidRDefault="006E7B7C" w:rsidP="006E7B7C">
      <w:pPr>
        <w:tabs>
          <w:tab w:val="left" w:pos="1665"/>
        </w:tabs>
        <w:rPr>
          <w:rFonts w:ascii="Arial" w:hAnsi="Arial" w:cs="Arial"/>
          <w:sz w:val="24"/>
          <w:szCs w:val="24"/>
        </w:rPr>
      </w:pPr>
      <w:r>
        <w:rPr>
          <w:rFonts w:ascii="Roboto-MediumItalic" w:eastAsiaTheme="minorHAnsi" w:hAnsi="Roboto-MediumItalic" w:cs="Roboto-MediumItalic"/>
          <w:i/>
          <w:iCs/>
          <w:color w:val="000000"/>
          <w:sz w:val="16"/>
          <w:szCs w:val="16"/>
          <w:lang w:eastAsia="en-US"/>
        </w:rPr>
        <w:t>Tassi di variazione 2017/2016</w:t>
      </w:r>
    </w:p>
    <w:p w:rsidR="006E7B7C" w:rsidRDefault="006E7B7C" w:rsidP="003A281A">
      <w:pPr>
        <w:tabs>
          <w:tab w:val="left" w:pos="16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67350" cy="3369895"/>
            <wp:effectExtent l="19050" t="0" r="0" b="0"/>
            <wp:docPr id="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611" cy="337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B7C" w:rsidRDefault="006E7B7C" w:rsidP="006E7B7C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223869">
        <w:rPr>
          <w:rFonts w:ascii="Arial" w:hAnsi="Arial" w:cs="Arial"/>
          <w:sz w:val="18"/>
          <w:szCs w:val="18"/>
        </w:rPr>
        <w:t>Fonte: Elaborazione Confindustria e Cerved</w:t>
      </w:r>
    </w:p>
    <w:p w:rsidR="006E7B7C" w:rsidRDefault="006E7B7C" w:rsidP="003A281A">
      <w:pPr>
        <w:tabs>
          <w:tab w:val="left" w:pos="1665"/>
        </w:tabs>
        <w:rPr>
          <w:rFonts w:ascii="Arial" w:hAnsi="Arial" w:cs="Arial"/>
          <w:sz w:val="24"/>
          <w:szCs w:val="24"/>
        </w:rPr>
      </w:pPr>
    </w:p>
    <w:p w:rsidR="006E7B7C" w:rsidRDefault="006E7B7C" w:rsidP="003A281A">
      <w:pPr>
        <w:tabs>
          <w:tab w:val="left" w:pos="1665"/>
        </w:tabs>
        <w:rPr>
          <w:rFonts w:ascii="Arial" w:hAnsi="Arial" w:cs="Arial"/>
          <w:sz w:val="24"/>
          <w:szCs w:val="24"/>
        </w:rPr>
      </w:pPr>
    </w:p>
    <w:p w:rsidR="006E7B7C" w:rsidRDefault="006E7B7C" w:rsidP="006E7B7C">
      <w:pPr>
        <w:tabs>
          <w:tab w:val="left" w:pos="166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6E7B7C">
        <w:rPr>
          <w:rFonts w:ascii="Arial" w:hAnsi="Arial" w:cs="Arial"/>
          <w:sz w:val="24"/>
          <w:szCs w:val="24"/>
        </w:rPr>
        <w:lastRenderedPageBreak/>
        <w:t xml:space="preserve">PMI </w:t>
      </w:r>
      <w:r>
        <w:rPr>
          <w:rFonts w:ascii="Arial" w:hAnsi="Arial" w:cs="Arial"/>
          <w:sz w:val="24"/>
          <w:szCs w:val="24"/>
        </w:rPr>
        <w:t xml:space="preserve"> del Centro-Nord </w:t>
      </w:r>
      <w:r w:rsidRPr="006E7B7C">
        <w:rPr>
          <w:rFonts w:ascii="Arial" w:hAnsi="Arial" w:cs="Arial"/>
          <w:sz w:val="24"/>
          <w:szCs w:val="24"/>
        </w:rPr>
        <w:t>per Cerved Group Score</w:t>
      </w:r>
    </w:p>
    <w:p w:rsidR="006E7B7C" w:rsidRPr="006E7B7C" w:rsidRDefault="006E7B7C" w:rsidP="006E7B7C">
      <w:pPr>
        <w:tabs>
          <w:tab w:val="left" w:pos="1665"/>
        </w:tabs>
        <w:spacing w:after="120" w:line="240" w:lineRule="auto"/>
        <w:rPr>
          <w:rFonts w:ascii="Roboto-MediumItalic" w:eastAsiaTheme="minorHAnsi" w:hAnsi="Roboto-MediumItalic" w:cs="Roboto-MediumItalic"/>
          <w:i/>
          <w:iCs/>
          <w:color w:val="000000"/>
          <w:sz w:val="16"/>
          <w:szCs w:val="16"/>
          <w:lang w:eastAsia="en-US"/>
        </w:rPr>
      </w:pPr>
      <w:r w:rsidRPr="006E7B7C">
        <w:rPr>
          <w:rFonts w:ascii="Roboto-MediumItalic" w:eastAsiaTheme="minorHAnsi" w:hAnsi="Roboto-MediumItalic" w:cs="Roboto-MediumItalic"/>
          <w:i/>
          <w:iCs/>
          <w:color w:val="000000"/>
          <w:sz w:val="16"/>
          <w:szCs w:val="16"/>
          <w:lang w:eastAsia="en-US"/>
        </w:rPr>
        <w:t>% sul totale</w:t>
      </w:r>
    </w:p>
    <w:p w:rsidR="006E7B7C" w:rsidRDefault="006E7B7C" w:rsidP="003A281A">
      <w:pPr>
        <w:tabs>
          <w:tab w:val="left" w:pos="16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028067" cy="2870421"/>
            <wp:effectExtent l="19050" t="0" r="1133" b="0"/>
            <wp:docPr id="10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066" cy="287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B7C" w:rsidRDefault="006E7B7C" w:rsidP="006E7B7C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223869">
        <w:rPr>
          <w:rFonts w:ascii="Arial" w:hAnsi="Arial" w:cs="Arial"/>
          <w:sz w:val="18"/>
          <w:szCs w:val="18"/>
        </w:rPr>
        <w:t>Fonte: Elaborazione Confindustria e Cerved</w:t>
      </w:r>
    </w:p>
    <w:p w:rsidR="006E7B7C" w:rsidRDefault="006E7B7C" w:rsidP="003A281A">
      <w:pPr>
        <w:tabs>
          <w:tab w:val="left" w:pos="1665"/>
        </w:tabs>
        <w:rPr>
          <w:rFonts w:ascii="Arial" w:hAnsi="Arial" w:cs="Arial"/>
          <w:sz w:val="24"/>
          <w:szCs w:val="24"/>
        </w:rPr>
      </w:pPr>
    </w:p>
    <w:p w:rsidR="00F2700A" w:rsidRPr="00F2700A" w:rsidRDefault="00F2700A" w:rsidP="00F2700A">
      <w:pPr>
        <w:tabs>
          <w:tab w:val="left" w:pos="1665"/>
        </w:tabs>
        <w:rPr>
          <w:rFonts w:ascii="Arial" w:hAnsi="Arial" w:cs="Arial"/>
          <w:sz w:val="24"/>
          <w:szCs w:val="24"/>
        </w:rPr>
      </w:pPr>
      <w:r w:rsidRPr="00F2700A">
        <w:rPr>
          <w:rFonts w:ascii="Arial" w:hAnsi="Arial" w:cs="Arial"/>
          <w:sz w:val="24"/>
          <w:szCs w:val="24"/>
        </w:rPr>
        <w:t>Potenziale impatto sul Pil di un’apertura delle PMI eccellenti a capitali istituzionali</w:t>
      </w:r>
    </w:p>
    <w:p w:rsidR="00F2700A" w:rsidRPr="001202DA" w:rsidRDefault="00F2700A" w:rsidP="003A281A">
      <w:pPr>
        <w:tabs>
          <w:tab w:val="left" w:pos="1665"/>
        </w:tabs>
        <w:rPr>
          <w:rFonts w:ascii="Arial" w:hAnsi="Arial" w:cs="Arial"/>
          <w:sz w:val="18"/>
          <w:szCs w:val="18"/>
        </w:rPr>
      </w:pPr>
      <w:r w:rsidRPr="001202DA">
        <w:rPr>
          <w:rFonts w:ascii="Arial" w:hAnsi="Arial" w:cs="Arial"/>
          <w:i/>
          <w:iCs/>
          <w:sz w:val="18"/>
          <w:szCs w:val="18"/>
        </w:rPr>
        <w:t xml:space="preserve">Crescita del valore aggiunto delle PMI eligible per i fondi o pronte alla quotazione nel caso in cui raggiungano una dimensione media paragonabile a quella delle società già quotate o nel portafoglio di Fondi </w:t>
      </w:r>
    </w:p>
    <w:p w:rsidR="00F2700A" w:rsidRDefault="001202DA" w:rsidP="003A281A">
      <w:pPr>
        <w:tabs>
          <w:tab w:val="left" w:pos="16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59898" cy="2655735"/>
            <wp:effectExtent l="19050" t="0" r="0" b="0"/>
            <wp:docPr id="1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095" cy="2657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2DA" w:rsidRDefault="001202DA" w:rsidP="001202DA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223869">
        <w:rPr>
          <w:rFonts w:ascii="Arial" w:hAnsi="Arial" w:cs="Arial"/>
          <w:sz w:val="18"/>
          <w:szCs w:val="18"/>
        </w:rPr>
        <w:t>Fonte: Elaborazione Confindustria e Cerved</w:t>
      </w:r>
    </w:p>
    <w:p w:rsidR="001202DA" w:rsidRDefault="001202DA" w:rsidP="003A281A">
      <w:pPr>
        <w:tabs>
          <w:tab w:val="left" w:pos="1665"/>
        </w:tabs>
        <w:rPr>
          <w:rFonts w:ascii="Arial" w:hAnsi="Arial" w:cs="Arial"/>
          <w:sz w:val="24"/>
          <w:szCs w:val="24"/>
        </w:rPr>
      </w:pPr>
    </w:p>
    <w:p w:rsidR="001202DA" w:rsidRDefault="001202DA" w:rsidP="003A281A">
      <w:pPr>
        <w:tabs>
          <w:tab w:val="left" w:pos="1665"/>
        </w:tabs>
        <w:rPr>
          <w:rFonts w:ascii="Arial" w:hAnsi="Arial" w:cs="Arial"/>
          <w:sz w:val="24"/>
          <w:szCs w:val="24"/>
        </w:rPr>
      </w:pPr>
    </w:p>
    <w:p w:rsidR="001202DA" w:rsidRDefault="001202DA" w:rsidP="003A281A">
      <w:pPr>
        <w:tabs>
          <w:tab w:val="left" w:pos="1665"/>
        </w:tabs>
        <w:rPr>
          <w:rFonts w:ascii="Arial" w:hAnsi="Arial" w:cs="Arial"/>
          <w:sz w:val="24"/>
          <w:szCs w:val="24"/>
        </w:rPr>
      </w:pPr>
    </w:p>
    <w:p w:rsidR="001202DA" w:rsidRDefault="001202DA" w:rsidP="003A281A">
      <w:pPr>
        <w:tabs>
          <w:tab w:val="left" w:pos="1665"/>
        </w:tabs>
        <w:rPr>
          <w:rFonts w:ascii="Arial" w:hAnsi="Arial" w:cs="Arial"/>
          <w:sz w:val="24"/>
          <w:szCs w:val="24"/>
        </w:rPr>
      </w:pPr>
    </w:p>
    <w:p w:rsidR="001202DA" w:rsidRDefault="001202DA" w:rsidP="003A281A">
      <w:pPr>
        <w:tabs>
          <w:tab w:val="left" w:pos="16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Voci di </w:t>
      </w:r>
      <w:r w:rsidRPr="001202DA">
        <w:rPr>
          <w:rFonts w:ascii="Arial" w:hAnsi="Arial" w:cs="Arial"/>
          <w:sz w:val="24"/>
          <w:szCs w:val="24"/>
        </w:rPr>
        <w:t xml:space="preserve">bilancio delle PMI </w:t>
      </w:r>
      <w:r w:rsidR="002E3EBD">
        <w:rPr>
          <w:rFonts w:ascii="Arial" w:hAnsi="Arial" w:cs="Arial"/>
          <w:sz w:val="24"/>
          <w:szCs w:val="24"/>
        </w:rPr>
        <w:t>Centro-Nord</w:t>
      </w:r>
      <w:r w:rsidRPr="001202DA">
        <w:rPr>
          <w:rFonts w:ascii="Arial" w:hAnsi="Arial" w:cs="Arial"/>
          <w:sz w:val="24"/>
          <w:szCs w:val="24"/>
        </w:rPr>
        <w:t xml:space="preserve"> ad alta vocazione internazionale </w:t>
      </w:r>
    </w:p>
    <w:p w:rsidR="001202DA" w:rsidRDefault="001202DA" w:rsidP="003A281A">
      <w:pPr>
        <w:tabs>
          <w:tab w:val="left" w:pos="16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929176" cy="3562185"/>
            <wp:effectExtent l="19050" t="0" r="0" b="0"/>
            <wp:docPr id="12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713" cy="356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2DA" w:rsidRDefault="001202DA" w:rsidP="001202DA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223869">
        <w:rPr>
          <w:rFonts w:ascii="Arial" w:hAnsi="Arial" w:cs="Arial"/>
          <w:sz w:val="18"/>
          <w:szCs w:val="18"/>
        </w:rPr>
        <w:t>Fonte: Elaborazione Confindustria e Cerved</w:t>
      </w:r>
    </w:p>
    <w:p w:rsidR="001202DA" w:rsidRDefault="001202DA" w:rsidP="003A281A">
      <w:pPr>
        <w:tabs>
          <w:tab w:val="left" w:pos="1665"/>
        </w:tabs>
        <w:rPr>
          <w:rFonts w:ascii="Arial" w:hAnsi="Arial" w:cs="Arial"/>
          <w:sz w:val="24"/>
          <w:szCs w:val="24"/>
        </w:rPr>
      </w:pPr>
    </w:p>
    <w:p w:rsidR="001202DA" w:rsidRDefault="001202DA" w:rsidP="003A281A">
      <w:pPr>
        <w:tabs>
          <w:tab w:val="left" w:pos="1665"/>
        </w:tabs>
        <w:rPr>
          <w:rFonts w:ascii="Arial" w:hAnsi="Arial" w:cs="Arial"/>
          <w:sz w:val="24"/>
          <w:szCs w:val="24"/>
        </w:rPr>
      </w:pPr>
    </w:p>
    <w:p w:rsidR="001202DA" w:rsidRDefault="001202DA" w:rsidP="003A281A">
      <w:pPr>
        <w:tabs>
          <w:tab w:val="left" w:pos="1665"/>
        </w:tabs>
        <w:rPr>
          <w:rFonts w:ascii="Arial" w:hAnsi="Arial" w:cs="Arial"/>
          <w:sz w:val="24"/>
          <w:szCs w:val="24"/>
        </w:rPr>
      </w:pPr>
    </w:p>
    <w:p w:rsidR="001202DA" w:rsidRDefault="001202DA" w:rsidP="003A281A">
      <w:pPr>
        <w:tabs>
          <w:tab w:val="left" w:pos="1665"/>
        </w:tabs>
        <w:rPr>
          <w:rFonts w:ascii="Arial" w:hAnsi="Arial" w:cs="Arial"/>
          <w:sz w:val="24"/>
          <w:szCs w:val="24"/>
        </w:rPr>
      </w:pPr>
    </w:p>
    <w:p w:rsidR="001202DA" w:rsidRDefault="001202DA" w:rsidP="003A281A">
      <w:pPr>
        <w:tabs>
          <w:tab w:val="left" w:pos="1665"/>
        </w:tabs>
        <w:rPr>
          <w:rFonts w:ascii="Arial" w:hAnsi="Arial" w:cs="Arial"/>
          <w:sz w:val="24"/>
          <w:szCs w:val="24"/>
        </w:rPr>
      </w:pPr>
    </w:p>
    <w:p w:rsidR="001202DA" w:rsidRDefault="001202DA" w:rsidP="003A281A">
      <w:pPr>
        <w:tabs>
          <w:tab w:val="left" w:pos="1665"/>
        </w:tabs>
        <w:rPr>
          <w:rFonts w:ascii="Arial" w:hAnsi="Arial" w:cs="Arial"/>
          <w:sz w:val="24"/>
          <w:szCs w:val="24"/>
        </w:rPr>
      </w:pPr>
    </w:p>
    <w:p w:rsidR="001202DA" w:rsidRPr="003A281A" w:rsidRDefault="001202DA" w:rsidP="003A281A">
      <w:pPr>
        <w:tabs>
          <w:tab w:val="left" w:pos="1665"/>
        </w:tabs>
        <w:rPr>
          <w:rFonts w:ascii="Arial" w:hAnsi="Arial" w:cs="Arial"/>
          <w:sz w:val="24"/>
          <w:szCs w:val="24"/>
        </w:rPr>
      </w:pPr>
    </w:p>
    <w:sectPr w:rsidR="001202DA" w:rsidRPr="003A281A" w:rsidSect="00BC5B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-Medium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savePreviewPicture/>
  <w:compat>
    <w:useFELayout/>
  </w:compat>
  <w:rsids>
    <w:rsidRoot w:val="006D4FC7"/>
    <w:rsid w:val="001202DA"/>
    <w:rsid w:val="001C38CE"/>
    <w:rsid w:val="001E36E6"/>
    <w:rsid w:val="00223869"/>
    <w:rsid w:val="002E3EBD"/>
    <w:rsid w:val="00302A87"/>
    <w:rsid w:val="00397973"/>
    <w:rsid w:val="003A281A"/>
    <w:rsid w:val="003C4F95"/>
    <w:rsid w:val="00440780"/>
    <w:rsid w:val="004468AC"/>
    <w:rsid w:val="004924B3"/>
    <w:rsid w:val="004A458E"/>
    <w:rsid w:val="004A7633"/>
    <w:rsid w:val="004B690E"/>
    <w:rsid w:val="00544A29"/>
    <w:rsid w:val="00586862"/>
    <w:rsid w:val="006319E3"/>
    <w:rsid w:val="006433A2"/>
    <w:rsid w:val="006C7E5D"/>
    <w:rsid w:val="006D4FC7"/>
    <w:rsid w:val="006E7B7C"/>
    <w:rsid w:val="007E4CC5"/>
    <w:rsid w:val="00824825"/>
    <w:rsid w:val="00844A39"/>
    <w:rsid w:val="008A33F3"/>
    <w:rsid w:val="00A25618"/>
    <w:rsid w:val="00AC630D"/>
    <w:rsid w:val="00AE26DA"/>
    <w:rsid w:val="00AE7354"/>
    <w:rsid w:val="00B11737"/>
    <w:rsid w:val="00B16C85"/>
    <w:rsid w:val="00B450BE"/>
    <w:rsid w:val="00B76398"/>
    <w:rsid w:val="00BA1F74"/>
    <w:rsid w:val="00BC5BA6"/>
    <w:rsid w:val="00C029D4"/>
    <w:rsid w:val="00C61CE7"/>
    <w:rsid w:val="00CC58C4"/>
    <w:rsid w:val="00D24072"/>
    <w:rsid w:val="00D965C4"/>
    <w:rsid w:val="00D96C04"/>
    <w:rsid w:val="00E24B7A"/>
    <w:rsid w:val="00F033F5"/>
    <w:rsid w:val="00F2700A"/>
    <w:rsid w:val="00F9682F"/>
    <w:rsid w:val="00FD6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29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6398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6398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4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emf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Cervedgroup S.p.A.</Company>
  <LinksUpToDate>false</LinksUpToDate>
  <CharactersWithSpaces>11618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acaporali</cp:lastModifiedBy>
  <cp:revision>3</cp:revision>
  <dcterms:created xsi:type="dcterms:W3CDTF">2019-04-10T10:39:00Z</dcterms:created>
  <dcterms:modified xsi:type="dcterms:W3CDTF">2019-04-10T10:40:00Z</dcterms:modified>
</cp:coreProperties>
</file>