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766" w:rsidRPr="00D22C22" w:rsidRDefault="00AE0766" w:rsidP="00AE0766">
      <w:pPr>
        <w:rPr>
          <w:b/>
          <w:color w:val="404040" w:themeColor="text1" w:themeTint="BF"/>
          <w:szCs w:val="28"/>
        </w:rPr>
      </w:pPr>
      <w:proofErr w:type="spellStart"/>
      <w:r w:rsidRPr="00D22C22">
        <w:rPr>
          <w:b/>
          <w:color w:val="9B4B58"/>
          <w:szCs w:val="28"/>
        </w:rPr>
        <w:t>unioncamere</w:t>
      </w:r>
      <w:r w:rsidRPr="00D22C22">
        <w:rPr>
          <w:b/>
          <w:color w:val="595959" w:themeColor="text1" w:themeTint="A6"/>
          <w:szCs w:val="28"/>
        </w:rPr>
        <w:t>lombardia</w:t>
      </w:r>
      <w:proofErr w:type="spellEnd"/>
    </w:p>
    <w:p w:rsidR="00AE0766" w:rsidRPr="00B94671" w:rsidRDefault="00AE0766" w:rsidP="00AE0766">
      <w:pPr>
        <w:rPr>
          <w:color w:val="595959" w:themeColor="text1" w:themeTint="A6"/>
          <w:szCs w:val="28"/>
        </w:rPr>
      </w:pPr>
      <w:r w:rsidRPr="00B94671">
        <w:rPr>
          <w:noProof/>
          <w:szCs w:val="28"/>
        </w:rPr>
        <w:drawing>
          <wp:anchor distT="0" distB="0" distL="114300" distR="114300" simplePos="0" relativeHeight="251659264" behindDoc="1" locked="0" layoutInCell="1" allowOverlap="1" wp14:anchorId="65C58F70" wp14:editId="671CA4CF">
            <wp:simplePos x="0" y="0"/>
            <wp:positionH relativeFrom="column">
              <wp:posOffset>3810</wp:posOffset>
            </wp:positionH>
            <wp:positionV relativeFrom="paragraph">
              <wp:posOffset>428180</wp:posOffset>
            </wp:positionV>
            <wp:extent cx="6443980" cy="71755"/>
            <wp:effectExtent l="0" t="0" r="0" b="4445"/>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71755"/>
                    </a:xfrm>
                    <a:prstGeom prst="rect">
                      <a:avLst/>
                    </a:prstGeom>
                    <a:noFill/>
                    <a:ln>
                      <a:noFill/>
                    </a:ln>
                  </pic:spPr>
                </pic:pic>
              </a:graphicData>
            </a:graphic>
          </wp:anchor>
        </w:drawing>
      </w:r>
      <w:r w:rsidRPr="00B94671">
        <w:rPr>
          <w:color w:val="595959" w:themeColor="text1" w:themeTint="A6"/>
          <w:szCs w:val="28"/>
        </w:rPr>
        <w:t>Funzione Informazione Economica</w:t>
      </w:r>
    </w:p>
    <w:p w:rsidR="00AE0766" w:rsidRDefault="00AE0766" w:rsidP="00AE0766">
      <w:pPr>
        <w:spacing w:line="360" w:lineRule="auto"/>
        <w:jc w:val="center"/>
      </w:pPr>
    </w:p>
    <w:p w:rsidR="00AE0766" w:rsidRDefault="00AE0766" w:rsidP="00AE0766">
      <w:pPr>
        <w:spacing w:line="360" w:lineRule="auto"/>
        <w:jc w:val="center"/>
        <w:rPr>
          <w:b/>
          <w:color w:val="9B4B58"/>
          <w:sz w:val="44"/>
          <w:szCs w:val="44"/>
        </w:rPr>
      </w:pPr>
    </w:p>
    <w:p w:rsidR="00AE0766" w:rsidRDefault="00AE0766" w:rsidP="00AE0766">
      <w:pPr>
        <w:spacing w:line="360" w:lineRule="auto"/>
        <w:jc w:val="center"/>
        <w:rPr>
          <w:b/>
          <w:color w:val="9B4B58"/>
          <w:sz w:val="44"/>
          <w:szCs w:val="44"/>
        </w:rPr>
      </w:pPr>
    </w:p>
    <w:p w:rsidR="00AE0766" w:rsidRPr="00B94671" w:rsidRDefault="00AE0766" w:rsidP="00AE0766">
      <w:pPr>
        <w:spacing w:line="360" w:lineRule="auto"/>
        <w:jc w:val="center"/>
        <w:rPr>
          <w:color w:val="9B4B58"/>
          <w:sz w:val="32"/>
          <w:szCs w:val="32"/>
        </w:rPr>
      </w:pPr>
      <w:r w:rsidRPr="00B94671">
        <w:rPr>
          <w:color w:val="9B4B58"/>
          <w:sz w:val="32"/>
          <w:szCs w:val="32"/>
        </w:rPr>
        <w:t>Focus Imprese - Osservatorio economico</w:t>
      </w:r>
    </w:p>
    <w:p w:rsidR="00AE0766" w:rsidRPr="00B94671" w:rsidRDefault="00AE0766" w:rsidP="00AE0766">
      <w:pPr>
        <w:spacing w:line="360" w:lineRule="auto"/>
        <w:jc w:val="center"/>
        <w:rPr>
          <w:color w:val="404040" w:themeColor="text1" w:themeTint="BF"/>
          <w:sz w:val="32"/>
          <w:szCs w:val="32"/>
        </w:rPr>
      </w:pPr>
      <w:r w:rsidRPr="00B94671">
        <w:rPr>
          <w:color w:val="9B4B58"/>
          <w:sz w:val="32"/>
          <w:szCs w:val="32"/>
        </w:rPr>
        <w:t>sulle imprese e per le imprese</w:t>
      </w:r>
    </w:p>
    <w:p w:rsidR="00AE0766" w:rsidRDefault="00AE0766" w:rsidP="00AE0766">
      <w:pPr>
        <w:spacing w:line="360" w:lineRule="auto"/>
        <w:jc w:val="center"/>
        <w:rPr>
          <w:color w:val="404040" w:themeColor="text1" w:themeTint="BF"/>
        </w:rPr>
      </w:pPr>
    </w:p>
    <w:p w:rsidR="00AE0766"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Default="00AE0766" w:rsidP="00AE0766">
      <w:pPr>
        <w:spacing w:line="360" w:lineRule="auto"/>
        <w:jc w:val="center"/>
        <w:rPr>
          <w:b/>
          <w:color w:val="404040" w:themeColor="text1" w:themeTint="BF"/>
          <w:sz w:val="44"/>
          <w:szCs w:val="44"/>
        </w:rPr>
      </w:pPr>
      <w:r>
        <w:rPr>
          <w:b/>
          <w:color w:val="404040" w:themeColor="text1" w:themeTint="BF"/>
          <w:sz w:val="44"/>
          <w:szCs w:val="44"/>
        </w:rPr>
        <w:t>Allegato Statistico</w:t>
      </w:r>
    </w:p>
    <w:p w:rsidR="00AE0766" w:rsidRDefault="00AE0766" w:rsidP="00AE0766">
      <w:pPr>
        <w:spacing w:line="360" w:lineRule="auto"/>
        <w:jc w:val="center"/>
        <w:rPr>
          <w:b/>
          <w:color w:val="404040" w:themeColor="text1" w:themeTint="BF"/>
          <w:sz w:val="44"/>
          <w:szCs w:val="44"/>
        </w:rPr>
      </w:pPr>
    </w:p>
    <w:p w:rsidR="00AE0766" w:rsidRPr="00403A59" w:rsidRDefault="00AE0766" w:rsidP="00AE0766">
      <w:pPr>
        <w:spacing w:line="360" w:lineRule="auto"/>
        <w:jc w:val="center"/>
        <w:rPr>
          <w:b/>
          <w:color w:val="404040" w:themeColor="text1" w:themeTint="BF"/>
          <w:sz w:val="44"/>
          <w:szCs w:val="44"/>
        </w:rPr>
      </w:pPr>
      <w:r>
        <w:rPr>
          <w:b/>
          <w:color w:val="404040" w:themeColor="text1" w:themeTint="BF"/>
          <w:sz w:val="44"/>
          <w:szCs w:val="44"/>
        </w:rPr>
        <w:t>INDUSTRIA</w:t>
      </w:r>
    </w:p>
    <w:p w:rsidR="00AE0766" w:rsidRPr="00B94671" w:rsidRDefault="00AE0766" w:rsidP="00AE0766">
      <w:pPr>
        <w:spacing w:line="360" w:lineRule="auto"/>
        <w:ind w:left="491"/>
        <w:jc w:val="center"/>
        <w:rPr>
          <w:color w:val="404040" w:themeColor="text1" w:themeTint="BF"/>
          <w:sz w:val="32"/>
          <w:szCs w:val="32"/>
        </w:rPr>
      </w:pPr>
      <w:r w:rsidRPr="00B94671">
        <w:rPr>
          <w:color w:val="404040" w:themeColor="text1" w:themeTint="BF"/>
          <w:sz w:val="32"/>
          <w:szCs w:val="32"/>
        </w:rPr>
        <w:t>L’anda</w:t>
      </w:r>
      <w:r w:rsidR="00BE197F">
        <w:rPr>
          <w:color w:val="404040" w:themeColor="text1" w:themeTint="BF"/>
          <w:sz w:val="32"/>
          <w:szCs w:val="32"/>
        </w:rPr>
        <w:t xml:space="preserve">mento economico in Lombardia - </w:t>
      </w:r>
      <w:r w:rsidR="008560DD">
        <w:rPr>
          <w:color w:val="404040" w:themeColor="text1" w:themeTint="BF"/>
          <w:sz w:val="32"/>
          <w:szCs w:val="32"/>
        </w:rPr>
        <w:t>2</w:t>
      </w:r>
      <w:r w:rsidR="00BE197F">
        <w:rPr>
          <w:color w:val="404040" w:themeColor="text1" w:themeTint="BF"/>
          <w:sz w:val="32"/>
          <w:szCs w:val="32"/>
        </w:rPr>
        <w:t>° trimestre 2019</w:t>
      </w: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Pr="000206BC" w:rsidRDefault="00AE0766" w:rsidP="00AE0766">
      <w:pPr>
        <w:spacing w:line="360" w:lineRule="auto"/>
        <w:rPr>
          <w:b/>
          <w:color w:val="404040" w:themeColor="text1" w:themeTint="BF"/>
        </w:rPr>
      </w:pPr>
    </w:p>
    <w:p w:rsidR="00AE0766" w:rsidRPr="000206BC" w:rsidRDefault="00AE0766" w:rsidP="00AE0766">
      <w:pPr>
        <w:spacing w:line="360" w:lineRule="auto"/>
        <w:rPr>
          <w:b/>
          <w:color w:val="404040" w:themeColor="text1" w:themeTint="BF"/>
        </w:rPr>
      </w:pPr>
    </w:p>
    <w:p w:rsidR="00AE0766" w:rsidRDefault="00AE0766" w:rsidP="00AE0766">
      <w:pPr>
        <w:spacing w:after="160" w:line="360" w:lineRule="auto"/>
        <w:rPr>
          <w:bCs/>
          <w:color w:val="404040" w:themeColor="text1" w:themeTint="BF"/>
          <w:sz w:val="20"/>
        </w:rPr>
      </w:pPr>
      <w:bookmarkStart w:id="0" w:name="_GoBack"/>
      <w:bookmarkEnd w:id="0"/>
    </w:p>
    <w:p w:rsidR="00AE0766" w:rsidRDefault="00AE0766" w:rsidP="00AE0766">
      <w:pPr>
        <w:spacing w:after="160" w:line="360" w:lineRule="auto"/>
        <w:rPr>
          <w:bCs/>
          <w:color w:val="404040" w:themeColor="text1" w:themeTint="BF"/>
          <w:sz w:val="20"/>
        </w:rPr>
      </w:pPr>
    </w:p>
    <w:p w:rsidR="008E49C6" w:rsidRDefault="008E49C6" w:rsidP="00AE0766">
      <w:pPr>
        <w:spacing w:line="360" w:lineRule="auto"/>
        <w:rPr>
          <w:rFonts w:ascii="Verdana" w:hAnsi="Verdana"/>
          <w:b/>
          <w:sz w:val="36"/>
        </w:rPr>
      </w:pPr>
    </w:p>
    <w:p w:rsidR="00AE0766" w:rsidRPr="00C94BFB" w:rsidRDefault="00AE076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576C7E" w:rsidRPr="003C3A85" w:rsidRDefault="00FF1A21">
      <w:pPr>
        <w:pStyle w:val="Sommario1"/>
        <w:rPr>
          <w:rFonts w:asciiTheme="minorHAnsi" w:eastAsiaTheme="minorEastAsia" w:hAnsiTheme="minorHAnsi" w:cstheme="minorBidi"/>
          <w:noProof/>
          <w:color w:val="000000" w:themeColor="text1"/>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519784534" w:history="1">
        <w:r w:rsidR="00576C7E" w:rsidRPr="003C3A85">
          <w:rPr>
            <w:rStyle w:val="Collegamentoipertestuale"/>
            <w:noProof/>
            <w:color w:val="000000" w:themeColor="text1"/>
          </w:rPr>
          <w:t>Tabella 1: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_Toc519784534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3</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35" w:history="1">
        <w:r w:rsidR="00576C7E" w:rsidRPr="003C3A85">
          <w:rPr>
            <w:rStyle w:val="Collegamentoipertestuale"/>
            <w:noProof/>
            <w:color w:val="000000" w:themeColor="text1"/>
          </w:rPr>
          <w:t xml:space="preserve">Tabella 2: Variazioni congiunturali </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_Toc519784535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4</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36" w:history="1">
        <w:r w:rsidR="00576C7E" w:rsidRPr="003C3A85">
          <w:rPr>
            <w:rStyle w:val="Collegamentoipertestuale"/>
            <w:noProof/>
            <w:color w:val="000000" w:themeColor="text1"/>
          </w:rPr>
          <w:t>Tabella 3: Indicatori occupazionali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_Toc519784536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5</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37" w:history="1">
        <w:r w:rsidR="00576C7E" w:rsidRPr="003C3A85">
          <w:rPr>
            <w:rStyle w:val="Collegamentoipertestuale"/>
            <w:noProof/>
            <w:color w:val="000000" w:themeColor="text1"/>
          </w:rPr>
          <w:t>Tabella 4: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classi dimensionali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_Toc519784537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6</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39" w:history="1">
        <w:r w:rsidR="00576C7E" w:rsidRPr="003C3A85">
          <w:rPr>
            <w:rStyle w:val="Collegamentoipertestuale"/>
            <w:noProof/>
            <w:color w:val="000000" w:themeColor="text1"/>
          </w:rPr>
          <w:t>Tabella 5: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settore di attività</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_Toc519784539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8</w:t>
        </w:r>
        <w:r w:rsidR="00576C7E" w:rsidRPr="003C3A85">
          <w:rPr>
            <w:noProof/>
            <w:webHidden/>
            <w:color w:val="000000" w:themeColor="text1"/>
          </w:rPr>
          <w:fldChar w:fldCharType="end"/>
        </w:r>
      </w:hyperlink>
    </w:p>
    <w:p w:rsidR="00576C7E" w:rsidRPr="003C3A85" w:rsidRDefault="001B4DB7">
      <w:pPr>
        <w:pStyle w:val="Sommario1"/>
        <w:rPr>
          <w:rStyle w:val="Collegamentoipertestuale"/>
          <w:noProof/>
          <w:color w:val="000000" w:themeColor="text1"/>
        </w:rPr>
      </w:pPr>
      <w:hyperlink w:anchor="_Toc519784540" w:history="1">
        <w:r w:rsidR="00576C7E" w:rsidRPr="003C3A85">
          <w:rPr>
            <w:rStyle w:val="Collegamentoipertestuale"/>
            <w:noProof/>
            <w:color w:val="000000" w:themeColor="text1"/>
          </w:rPr>
          <w:t>Tabella 6: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destinazione economica dei beni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_Toc519784540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9</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1B4DB7" w:rsidP="00576C7E">
      <w:pPr>
        <w:pStyle w:val="Sommario1"/>
        <w:rPr>
          <w:rFonts w:asciiTheme="minorHAnsi" w:eastAsiaTheme="minorEastAsia" w:hAnsiTheme="minorHAnsi" w:cstheme="minorBidi"/>
          <w:noProof/>
          <w:color w:val="000000" w:themeColor="text1"/>
          <w:sz w:val="22"/>
          <w:szCs w:val="22"/>
        </w:rPr>
      </w:pPr>
      <w:hyperlink w:anchor="_Toc519784538" w:history="1">
        <w:r w:rsidR="00576C7E" w:rsidRPr="003C3A85">
          <w:rPr>
            <w:rStyle w:val="Collegamentoipertestuale"/>
            <w:noProof/>
            <w:color w:val="000000" w:themeColor="text1"/>
          </w:rPr>
          <w:t>Grafico 1 – Variazione produzione industriale per settore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_Toc519784538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7</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41" w:history="1">
        <w:r w:rsidR="00576C7E" w:rsidRPr="003C3A85">
          <w:rPr>
            <w:rStyle w:val="Collegamentoipertestuale"/>
            <w:noProof/>
            <w:color w:val="000000" w:themeColor="text1"/>
          </w:rPr>
          <w:t>Grafico 3: Fatturato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_Toc519784541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11</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42" w:history="1">
        <w:r w:rsidR="00576C7E" w:rsidRPr="003C3A85">
          <w:rPr>
            <w:rStyle w:val="Collegamentoipertestuale"/>
            <w:noProof/>
            <w:color w:val="000000" w:themeColor="text1"/>
          </w:rPr>
          <w:t>Grafico 4: Quota del fatturato estero sul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_Toc519784542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12</w:t>
        </w:r>
        <w:r w:rsidR="00576C7E" w:rsidRPr="003C3A85">
          <w:rPr>
            <w:noProof/>
            <w:webHidden/>
            <w:color w:val="000000" w:themeColor="text1"/>
          </w:rPr>
          <w:fldChar w:fldCharType="end"/>
        </w:r>
      </w:hyperlink>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43" w:history="1">
        <w:r w:rsidR="00576C7E" w:rsidRPr="003C3A85">
          <w:rPr>
            <w:rStyle w:val="Collegamentoipertestuale"/>
            <w:noProof/>
            <w:color w:val="000000" w:themeColor="text1"/>
          </w:rPr>
          <w:t>Grafico 5: Aspettative su domanda interna e estera</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_Toc519784543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13</w:t>
        </w:r>
        <w:r w:rsidR="00576C7E" w:rsidRPr="003C3A85">
          <w:rPr>
            <w:noProof/>
            <w:webHidden/>
            <w:color w:val="000000" w:themeColor="text1"/>
          </w:rPr>
          <w:fldChar w:fldCharType="end"/>
        </w:r>
      </w:hyperlink>
    </w:p>
    <w:p w:rsidR="00576C7E" w:rsidRPr="003C3A85" w:rsidRDefault="001B4DB7">
      <w:pPr>
        <w:pStyle w:val="Sommario1"/>
        <w:rPr>
          <w:rStyle w:val="Collegamentoipertestuale"/>
          <w:noProof/>
          <w:color w:val="000000" w:themeColor="text1"/>
        </w:rPr>
      </w:pPr>
      <w:hyperlink w:anchor="_Toc519784544" w:history="1">
        <w:r w:rsidR="00576C7E" w:rsidRPr="003C3A85">
          <w:rPr>
            <w:rStyle w:val="Collegamentoipertestuale"/>
            <w:noProof/>
            <w:color w:val="000000" w:themeColor="text1"/>
          </w:rPr>
          <w:t>Grafico 6: Aspettative su produzione e occupazione.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_Toc519784544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14</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1B4DB7">
      <w:pPr>
        <w:pStyle w:val="Sommario1"/>
        <w:rPr>
          <w:rFonts w:asciiTheme="minorHAnsi" w:eastAsiaTheme="minorEastAsia" w:hAnsiTheme="minorHAnsi" w:cstheme="minorBidi"/>
          <w:noProof/>
          <w:color w:val="000000" w:themeColor="text1"/>
          <w:sz w:val="22"/>
          <w:szCs w:val="22"/>
        </w:rPr>
      </w:pPr>
      <w:hyperlink w:anchor="_Toc519784545" w:history="1">
        <w:r w:rsidR="00576C7E" w:rsidRPr="003C3A85">
          <w:rPr>
            <w:rStyle w:val="Collegamentoipertestuale"/>
            <w:noProof/>
            <w:color w:val="000000" w:themeColor="text1"/>
          </w:rPr>
          <w:t>Note metodologiche: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_Toc519784545 \h </w:instrText>
        </w:r>
        <w:r w:rsidR="00576C7E" w:rsidRPr="003C3A85">
          <w:rPr>
            <w:noProof/>
            <w:webHidden/>
            <w:color w:val="000000" w:themeColor="text1"/>
          </w:rPr>
        </w:r>
        <w:r w:rsidR="00576C7E" w:rsidRPr="003C3A85">
          <w:rPr>
            <w:noProof/>
            <w:webHidden/>
            <w:color w:val="000000" w:themeColor="text1"/>
          </w:rPr>
          <w:fldChar w:fldCharType="separate"/>
        </w:r>
        <w:r w:rsidR="004F5D65">
          <w:rPr>
            <w:noProof/>
            <w:webHidden/>
            <w:color w:val="000000" w:themeColor="text1"/>
          </w:rPr>
          <w:t>15</w:t>
        </w:r>
        <w:r w:rsidR="00576C7E" w:rsidRPr="003C3A85">
          <w:rPr>
            <w:noProof/>
            <w:webHidden/>
            <w:color w:val="000000" w:themeColor="text1"/>
          </w:rPr>
          <w:fldChar w:fldCharType="end"/>
        </w:r>
      </w:hyperlink>
    </w:p>
    <w:p w:rsidR="00576C7E" w:rsidRDefault="001B4DB7">
      <w:pPr>
        <w:pStyle w:val="Sommario1"/>
        <w:rPr>
          <w:rFonts w:asciiTheme="minorHAnsi" w:eastAsiaTheme="minorEastAsia" w:hAnsiTheme="minorHAnsi" w:cstheme="minorBidi"/>
          <w:noProof/>
          <w:sz w:val="22"/>
          <w:szCs w:val="22"/>
        </w:rPr>
      </w:pPr>
      <w:hyperlink w:anchor="_Toc519784546" w:history="1">
        <w:r w:rsidR="00576C7E" w:rsidRPr="0040310B">
          <w:rPr>
            <w:rStyle w:val="Collegamentoipertestuale"/>
            <w:noProof/>
          </w:rPr>
          <w:t>GLOSSARIO</w:t>
        </w:r>
        <w:r w:rsidR="00576C7E">
          <w:rPr>
            <w:noProof/>
            <w:webHidden/>
          </w:rPr>
          <w:tab/>
        </w:r>
        <w:r w:rsidR="00576C7E">
          <w:rPr>
            <w:noProof/>
            <w:webHidden/>
          </w:rPr>
          <w:fldChar w:fldCharType="begin"/>
        </w:r>
        <w:r w:rsidR="00576C7E">
          <w:rPr>
            <w:noProof/>
            <w:webHidden/>
          </w:rPr>
          <w:instrText xml:space="preserve"> PAGEREF _Toc519784546 \h </w:instrText>
        </w:r>
        <w:r w:rsidR="00576C7E">
          <w:rPr>
            <w:noProof/>
            <w:webHidden/>
          </w:rPr>
        </w:r>
        <w:r w:rsidR="00576C7E">
          <w:rPr>
            <w:noProof/>
            <w:webHidden/>
          </w:rPr>
          <w:fldChar w:fldCharType="separate"/>
        </w:r>
        <w:r w:rsidR="004F5D65">
          <w:rPr>
            <w:noProof/>
            <w:webHidden/>
          </w:rPr>
          <w:t>16</w:t>
        </w:r>
        <w:r w:rsidR="00576C7E">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1" w:name="_Toc188872001"/>
      <w:bookmarkStart w:id="2" w:name="_Toc519784534"/>
      <w:bookmarkStart w:id="3" w:name="_Toc139964179"/>
      <w:bookmarkStart w:id="4" w:name="_Toc139965078"/>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4F5D65">
        <w:rPr>
          <w:noProof/>
        </w:rPr>
        <w:t>1</w:t>
      </w:r>
      <w:r w:rsidR="00651D3B">
        <w:rPr>
          <w:noProof/>
        </w:rPr>
        <w:fldChar w:fldCharType="end"/>
      </w:r>
      <w:r w:rsidR="004F2084" w:rsidRPr="00EB60DF">
        <w:t xml:space="preserve">: Variazioni </w:t>
      </w:r>
      <w:proofErr w:type="gramStart"/>
      <w:r w:rsidR="004F2084" w:rsidRPr="00EB60DF">
        <w:t>tendenziali</w:t>
      </w:r>
      <w:r w:rsidR="002B6274" w:rsidRPr="002B6274">
        <w:rPr>
          <w:vertAlign w:val="superscript"/>
        </w:rPr>
        <w:t>(</w:t>
      </w:r>
      <w:proofErr w:type="gramEnd"/>
      <w:r w:rsidR="002B6274" w:rsidRPr="002B6274">
        <w:rPr>
          <w:vertAlign w:val="superscript"/>
        </w:rPr>
        <w:t>1)</w:t>
      </w:r>
      <w:r w:rsidR="00796D12" w:rsidRPr="00EB60DF">
        <w:t xml:space="preserve"> </w:t>
      </w:r>
      <w:r w:rsidR="004F2084" w:rsidRPr="00EB60DF">
        <w:t>delle principali variabili</w:t>
      </w:r>
      <w:bookmarkEnd w:id="1"/>
      <w:bookmarkEnd w:id="2"/>
    </w:p>
    <w:tbl>
      <w:tblPr>
        <w:tblW w:w="9060" w:type="dxa"/>
        <w:tblBorders>
          <w:insideH w:val="single" w:sz="18" w:space="0" w:color="FFFFFF"/>
          <w:insideV w:val="single" w:sz="18" w:space="0" w:color="FFFFFF"/>
        </w:tblBorders>
        <w:tblLayout w:type="fixed"/>
        <w:tblLook w:val="04A0" w:firstRow="1" w:lastRow="0" w:firstColumn="1" w:lastColumn="0" w:noHBand="0" w:noVBand="1"/>
      </w:tblPr>
      <w:tblGrid>
        <w:gridCol w:w="3966"/>
        <w:gridCol w:w="852"/>
        <w:gridCol w:w="855"/>
        <w:gridCol w:w="852"/>
        <w:gridCol w:w="845"/>
        <w:gridCol w:w="845"/>
        <w:gridCol w:w="845"/>
      </w:tblGrid>
      <w:tr w:rsidR="009453C1" w:rsidRPr="00043E0E" w:rsidTr="000D7D31">
        <w:trPr>
          <w:trHeight w:val="403"/>
        </w:trPr>
        <w:tc>
          <w:tcPr>
            <w:tcW w:w="3966" w:type="dxa"/>
            <w:shd w:val="pct20" w:color="000000" w:fill="FFFFFF"/>
            <w:vAlign w:val="center"/>
            <w:hideMark/>
          </w:tcPr>
          <w:p w:rsidR="009453C1" w:rsidRPr="00043E0E" w:rsidRDefault="009453C1" w:rsidP="006C017B">
            <w:pPr>
              <w:jc w:val="center"/>
              <w:rPr>
                <w:rFonts w:ascii="Verdana" w:hAnsi="Verdana" w:cs="Arial"/>
                <w:b/>
                <w:bCs/>
                <w:sz w:val="18"/>
                <w:szCs w:val="18"/>
              </w:rPr>
            </w:pPr>
            <w:r w:rsidRPr="00043E0E">
              <w:rPr>
                <w:rFonts w:ascii="Verdana" w:hAnsi="Verdana" w:cs="Arial"/>
                <w:b/>
                <w:bCs/>
                <w:sz w:val="18"/>
                <w:szCs w:val="18"/>
              </w:rPr>
              <w:t>Anni</w:t>
            </w:r>
          </w:p>
        </w:tc>
        <w:tc>
          <w:tcPr>
            <w:tcW w:w="2559" w:type="dxa"/>
            <w:gridSpan w:val="3"/>
            <w:shd w:val="pct20" w:color="000000" w:fill="FFFFFF"/>
            <w:vAlign w:val="center"/>
          </w:tcPr>
          <w:p w:rsidR="009453C1" w:rsidRDefault="009453C1" w:rsidP="00BA5B5F">
            <w:pPr>
              <w:jc w:val="center"/>
              <w:rPr>
                <w:rFonts w:ascii="Verdana" w:hAnsi="Verdana" w:cs="Arial"/>
                <w:b/>
                <w:bCs/>
                <w:sz w:val="18"/>
                <w:szCs w:val="18"/>
              </w:rPr>
            </w:pPr>
            <w:r>
              <w:rPr>
                <w:rFonts w:ascii="Verdana" w:hAnsi="Verdana" w:cs="Arial"/>
                <w:b/>
                <w:bCs/>
                <w:sz w:val="18"/>
                <w:szCs w:val="18"/>
              </w:rPr>
              <w:t>2018</w:t>
            </w:r>
          </w:p>
        </w:tc>
        <w:tc>
          <w:tcPr>
            <w:tcW w:w="845" w:type="dxa"/>
            <w:vMerge w:val="restart"/>
            <w:shd w:val="pct20" w:color="000000" w:fill="FFFFFF"/>
          </w:tcPr>
          <w:p w:rsidR="009453C1" w:rsidRDefault="009453C1" w:rsidP="00BA5B5F">
            <w:pPr>
              <w:jc w:val="center"/>
              <w:rPr>
                <w:rFonts w:ascii="Verdana" w:hAnsi="Verdana" w:cs="Arial"/>
                <w:b/>
                <w:bCs/>
                <w:sz w:val="18"/>
                <w:szCs w:val="18"/>
              </w:rPr>
            </w:pPr>
            <w:r>
              <w:rPr>
                <w:rFonts w:ascii="Verdana" w:hAnsi="Verdana" w:cs="Arial"/>
                <w:b/>
                <w:bCs/>
                <w:sz w:val="18"/>
                <w:szCs w:val="18"/>
              </w:rPr>
              <w:t>Media annua 2018</w:t>
            </w:r>
          </w:p>
        </w:tc>
        <w:tc>
          <w:tcPr>
            <w:tcW w:w="1690" w:type="dxa"/>
            <w:gridSpan w:val="2"/>
            <w:shd w:val="pct20" w:color="000000" w:fill="FFFFFF"/>
            <w:vAlign w:val="center"/>
          </w:tcPr>
          <w:p w:rsidR="009453C1" w:rsidRDefault="009453C1" w:rsidP="009453C1">
            <w:pPr>
              <w:jc w:val="center"/>
              <w:rPr>
                <w:rFonts w:ascii="Verdana" w:hAnsi="Verdana" w:cs="Arial"/>
                <w:b/>
                <w:bCs/>
                <w:sz w:val="18"/>
                <w:szCs w:val="18"/>
              </w:rPr>
            </w:pPr>
            <w:r>
              <w:rPr>
                <w:rFonts w:ascii="Verdana" w:hAnsi="Verdana" w:cs="Arial"/>
                <w:b/>
                <w:bCs/>
                <w:sz w:val="18"/>
                <w:szCs w:val="18"/>
              </w:rPr>
              <w:t>2019</w:t>
            </w:r>
          </w:p>
        </w:tc>
      </w:tr>
      <w:tr w:rsidR="009453C1" w:rsidRPr="00043E0E" w:rsidTr="009453C1">
        <w:trPr>
          <w:trHeight w:val="340"/>
        </w:trPr>
        <w:tc>
          <w:tcPr>
            <w:tcW w:w="3966" w:type="dxa"/>
            <w:shd w:val="pct20" w:color="000000" w:fill="FFFFFF"/>
            <w:vAlign w:val="center"/>
            <w:hideMark/>
          </w:tcPr>
          <w:p w:rsidR="009453C1" w:rsidRPr="00043E0E" w:rsidRDefault="009453C1" w:rsidP="001E334B">
            <w:pPr>
              <w:jc w:val="center"/>
              <w:rPr>
                <w:rFonts w:ascii="Verdana" w:hAnsi="Verdana" w:cs="Arial"/>
                <w:b/>
                <w:bCs/>
                <w:sz w:val="18"/>
                <w:szCs w:val="18"/>
              </w:rPr>
            </w:pPr>
            <w:r w:rsidRPr="00043E0E">
              <w:rPr>
                <w:rFonts w:ascii="Verdana" w:hAnsi="Verdana" w:cs="Arial"/>
                <w:b/>
                <w:bCs/>
                <w:sz w:val="18"/>
                <w:szCs w:val="18"/>
              </w:rPr>
              <w:t>Trimestri</w:t>
            </w:r>
          </w:p>
        </w:tc>
        <w:tc>
          <w:tcPr>
            <w:tcW w:w="852" w:type="dxa"/>
            <w:shd w:val="pct20" w:color="000000" w:fill="FFFFFF"/>
            <w:vAlign w:val="center"/>
          </w:tcPr>
          <w:p w:rsidR="009453C1" w:rsidRDefault="009453C1" w:rsidP="001E5D65">
            <w:pPr>
              <w:jc w:val="center"/>
              <w:rPr>
                <w:rFonts w:ascii="Verdana" w:hAnsi="Verdana" w:cs="Arial"/>
                <w:b/>
                <w:bCs/>
                <w:sz w:val="18"/>
                <w:szCs w:val="18"/>
              </w:rPr>
            </w:pPr>
            <w:r>
              <w:rPr>
                <w:rFonts w:ascii="Verdana" w:hAnsi="Verdana" w:cs="Arial"/>
                <w:b/>
                <w:bCs/>
                <w:sz w:val="18"/>
                <w:szCs w:val="18"/>
              </w:rPr>
              <w:t>2</w:t>
            </w:r>
          </w:p>
        </w:tc>
        <w:tc>
          <w:tcPr>
            <w:tcW w:w="855" w:type="dxa"/>
            <w:shd w:val="pct20" w:color="000000" w:fill="FFFFFF"/>
            <w:vAlign w:val="center"/>
          </w:tcPr>
          <w:p w:rsidR="009453C1" w:rsidRDefault="009453C1" w:rsidP="001E5D65">
            <w:pPr>
              <w:jc w:val="center"/>
              <w:rPr>
                <w:rFonts w:ascii="Verdana" w:hAnsi="Verdana" w:cs="Arial"/>
                <w:b/>
                <w:bCs/>
                <w:sz w:val="18"/>
                <w:szCs w:val="18"/>
              </w:rPr>
            </w:pPr>
            <w:r>
              <w:rPr>
                <w:rFonts w:ascii="Verdana" w:hAnsi="Verdana" w:cs="Arial"/>
                <w:b/>
                <w:bCs/>
                <w:sz w:val="18"/>
                <w:szCs w:val="18"/>
              </w:rPr>
              <w:t>3</w:t>
            </w:r>
          </w:p>
        </w:tc>
        <w:tc>
          <w:tcPr>
            <w:tcW w:w="852" w:type="dxa"/>
            <w:shd w:val="pct20" w:color="000000" w:fill="FFFFFF"/>
            <w:vAlign w:val="center"/>
          </w:tcPr>
          <w:p w:rsidR="009453C1" w:rsidRDefault="009453C1" w:rsidP="00BA5B5F">
            <w:pPr>
              <w:jc w:val="center"/>
              <w:rPr>
                <w:rFonts w:ascii="Verdana" w:hAnsi="Verdana" w:cs="Arial"/>
                <w:b/>
                <w:bCs/>
                <w:sz w:val="18"/>
                <w:szCs w:val="18"/>
              </w:rPr>
            </w:pPr>
            <w:r>
              <w:rPr>
                <w:rFonts w:ascii="Verdana" w:hAnsi="Verdana" w:cs="Arial"/>
                <w:b/>
                <w:bCs/>
                <w:sz w:val="18"/>
                <w:szCs w:val="18"/>
              </w:rPr>
              <w:t>4</w:t>
            </w:r>
          </w:p>
        </w:tc>
        <w:tc>
          <w:tcPr>
            <w:tcW w:w="845" w:type="dxa"/>
            <w:vMerge/>
            <w:shd w:val="pct20" w:color="000000" w:fill="FFFFFF"/>
          </w:tcPr>
          <w:p w:rsidR="009453C1" w:rsidRDefault="009453C1" w:rsidP="00A85A1A">
            <w:pPr>
              <w:jc w:val="center"/>
              <w:rPr>
                <w:rFonts w:ascii="Verdana" w:hAnsi="Verdana" w:cs="Arial"/>
                <w:b/>
                <w:bCs/>
                <w:sz w:val="18"/>
                <w:szCs w:val="18"/>
              </w:rPr>
            </w:pPr>
          </w:p>
        </w:tc>
        <w:tc>
          <w:tcPr>
            <w:tcW w:w="845" w:type="dxa"/>
            <w:shd w:val="pct20" w:color="000000" w:fill="FFFFFF"/>
            <w:vAlign w:val="center"/>
          </w:tcPr>
          <w:p w:rsidR="009453C1" w:rsidRDefault="009453C1" w:rsidP="0094295F">
            <w:pPr>
              <w:jc w:val="center"/>
              <w:rPr>
                <w:rFonts w:ascii="Verdana" w:hAnsi="Verdana" w:cs="Arial"/>
                <w:b/>
                <w:bCs/>
                <w:sz w:val="18"/>
                <w:szCs w:val="18"/>
              </w:rPr>
            </w:pPr>
            <w:r>
              <w:rPr>
                <w:rFonts w:ascii="Verdana" w:hAnsi="Verdana" w:cs="Arial"/>
                <w:b/>
                <w:bCs/>
                <w:sz w:val="18"/>
                <w:szCs w:val="18"/>
              </w:rPr>
              <w:t>1</w:t>
            </w:r>
          </w:p>
        </w:tc>
        <w:tc>
          <w:tcPr>
            <w:tcW w:w="845" w:type="dxa"/>
            <w:shd w:val="pct20" w:color="000000" w:fill="FFFFFF"/>
            <w:vAlign w:val="center"/>
          </w:tcPr>
          <w:p w:rsidR="009453C1" w:rsidRDefault="009453C1" w:rsidP="009453C1">
            <w:pPr>
              <w:jc w:val="center"/>
              <w:rPr>
                <w:rFonts w:ascii="Verdana" w:hAnsi="Verdana" w:cs="Arial"/>
                <w:b/>
                <w:bCs/>
                <w:sz w:val="18"/>
                <w:szCs w:val="18"/>
              </w:rPr>
            </w:pPr>
            <w:r>
              <w:rPr>
                <w:rFonts w:ascii="Verdana" w:hAnsi="Verdana" w:cs="Arial"/>
                <w:b/>
                <w:bCs/>
                <w:sz w:val="18"/>
                <w:szCs w:val="18"/>
              </w:rPr>
              <w:t>2</w:t>
            </w:r>
          </w:p>
        </w:tc>
      </w:tr>
      <w:tr w:rsidR="009453C1" w:rsidRPr="00043E0E" w:rsidTr="00B3780F">
        <w:trPr>
          <w:trHeight w:val="340"/>
        </w:trPr>
        <w:tc>
          <w:tcPr>
            <w:tcW w:w="3966" w:type="dxa"/>
            <w:shd w:val="pct5" w:color="000000" w:fill="FFFFFF"/>
            <w:vAlign w:val="center"/>
            <w:hideMark/>
          </w:tcPr>
          <w:p w:rsidR="009453C1" w:rsidRPr="00DB7CF1" w:rsidRDefault="009453C1" w:rsidP="001E334B">
            <w:pPr>
              <w:rPr>
                <w:rFonts w:ascii="Verdana" w:hAnsi="Verdana" w:cs="Arial"/>
                <w:sz w:val="20"/>
              </w:rPr>
            </w:pPr>
            <w:r w:rsidRPr="00DB7CF1">
              <w:rPr>
                <w:rFonts w:ascii="Verdana" w:hAnsi="Verdana" w:cs="Arial"/>
                <w:sz w:val="20"/>
              </w:rPr>
              <w:t>Produzione</w:t>
            </w:r>
          </w:p>
        </w:tc>
        <w:tc>
          <w:tcPr>
            <w:tcW w:w="852" w:type="dxa"/>
            <w:shd w:val="pct5" w:color="000000" w:fill="FFFFFF"/>
            <w:vAlign w:val="center"/>
          </w:tcPr>
          <w:p w:rsidR="009453C1" w:rsidRPr="005F24D1" w:rsidRDefault="009453C1" w:rsidP="00DB7CF1">
            <w:pPr>
              <w:jc w:val="right"/>
              <w:rPr>
                <w:rFonts w:ascii="Verdana" w:hAnsi="Verdana" w:cs="Arial"/>
                <w:bCs/>
                <w:sz w:val="18"/>
                <w:szCs w:val="18"/>
              </w:rPr>
            </w:pPr>
            <w:r w:rsidRPr="005F24D1">
              <w:rPr>
                <w:rFonts w:ascii="Verdana" w:hAnsi="Verdana" w:cs="Arial"/>
                <w:bCs/>
                <w:sz w:val="18"/>
                <w:szCs w:val="18"/>
              </w:rPr>
              <w:t>3,9</w:t>
            </w:r>
          </w:p>
        </w:tc>
        <w:tc>
          <w:tcPr>
            <w:tcW w:w="855" w:type="dxa"/>
            <w:shd w:val="pct5" w:color="000000" w:fill="FFFFFF"/>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2,3</w:t>
            </w:r>
          </w:p>
        </w:tc>
        <w:tc>
          <w:tcPr>
            <w:tcW w:w="852" w:type="dxa"/>
            <w:shd w:val="pct5" w:color="000000" w:fill="FFFFFF"/>
            <w:vAlign w:val="center"/>
          </w:tcPr>
          <w:p w:rsidR="009453C1" w:rsidRPr="00AE22B9" w:rsidRDefault="009453C1" w:rsidP="00DB7CF1">
            <w:pPr>
              <w:jc w:val="right"/>
              <w:rPr>
                <w:rFonts w:ascii="Verdana" w:hAnsi="Verdana" w:cs="Arial"/>
                <w:bCs/>
                <w:sz w:val="18"/>
                <w:szCs w:val="18"/>
              </w:rPr>
            </w:pPr>
            <w:r w:rsidRPr="00AE22B9">
              <w:rPr>
                <w:rFonts w:ascii="Verdana" w:hAnsi="Verdana" w:cs="Arial"/>
                <w:bCs/>
                <w:sz w:val="18"/>
                <w:szCs w:val="18"/>
              </w:rPr>
              <w:t>1,9</w:t>
            </w:r>
          </w:p>
        </w:tc>
        <w:tc>
          <w:tcPr>
            <w:tcW w:w="845" w:type="dxa"/>
            <w:shd w:val="pct5" w:color="000000" w:fill="FFFFFF"/>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3,0</w:t>
            </w:r>
          </w:p>
        </w:tc>
        <w:tc>
          <w:tcPr>
            <w:tcW w:w="845" w:type="dxa"/>
            <w:shd w:val="pct5" w:color="000000" w:fill="FFFFFF"/>
            <w:vAlign w:val="center"/>
          </w:tcPr>
          <w:p w:rsidR="009453C1" w:rsidRPr="00380FCA" w:rsidRDefault="009453C1" w:rsidP="00063B7D">
            <w:pPr>
              <w:jc w:val="right"/>
              <w:rPr>
                <w:rFonts w:ascii="Verdana" w:hAnsi="Verdana" w:cs="Arial"/>
                <w:bCs/>
                <w:sz w:val="18"/>
                <w:szCs w:val="18"/>
              </w:rPr>
            </w:pPr>
            <w:r w:rsidRPr="00380FCA">
              <w:rPr>
                <w:rFonts w:ascii="Verdana" w:hAnsi="Verdana" w:cs="Arial"/>
                <w:bCs/>
                <w:sz w:val="18"/>
                <w:szCs w:val="18"/>
              </w:rPr>
              <w:t>0,9</w:t>
            </w:r>
          </w:p>
        </w:tc>
        <w:tc>
          <w:tcPr>
            <w:tcW w:w="845" w:type="dxa"/>
            <w:shd w:val="pct5" w:color="000000" w:fill="FFFFFF"/>
            <w:vAlign w:val="center"/>
          </w:tcPr>
          <w:p w:rsidR="009453C1" w:rsidRPr="00380FCA" w:rsidRDefault="00B3780F" w:rsidP="00B3780F">
            <w:pPr>
              <w:jc w:val="right"/>
              <w:rPr>
                <w:rFonts w:ascii="Verdana" w:hAnsi="Verdana" w:cs="Arial"/>
                <w:bCs/>
                <w:sz w:val="18"/>
                <w:szCs w:val="18"/>
              </w:rPr>
            </w:pPr>
            <w:r>
              <w:rPr>
                <w:rFonts w:ascii="Verdana" w:hAnsi="Verdana" w:cs="Arial"/>
                <w:bCs/>
                <w:sz w:val="18"/>
                <w:szCs w:val="18"/>
              </w:rPr>
              <w:t>-0,9</w:t>
            </w:r>
          </w:p>
        </w:tc>
      </w:tr>
      <w:tr w:rsidR="009453C1" w:rsidRPr="00043E0E" w:rsidTr="00B3780F">
        <w:trPr>
          <w:trHeight w:val="340"/>
        </w:trPr>
        <w:tc>
          <w:tcPr>
            <w:tcW w:w="3966" w:type="dxa"/>
            <w:shd w:val="pct20" w:color="000000" w:fill="FFFFFF"/>
            <w:vAlign w:val="center"/>
          </w:tcPr>
          <w:p w:rsidR="009453C1" w:rsidRPr="00DB7CF1" w:rsidRDefault="009453C1" w:rsidP="001E334B">
            <w:pPr>
              <w:rPr>
                <w:rFonts w:ascii="Verdana" w:hAnsi="Verdana" w:cs="Arial"/>
                <w:sz w:val="20"/>
              </w:rPr>
            </w:pPr>
            <w:r w:rsidRPr="00DB7CF1">
              <w:rPr>
                <w:rFonts w:ascii="Verdana" w:hAnsi="Verdana" w:cs="Arial"/>
                <w:sz w:val="20"/>
              </w:rPr>
              <w:t>Tasso utilizzo impianti (2)</w:t>
            </w:r>
          </w:p>
        </w:tc>
        <w:tc>
          <w:tcPr>
            <w:tcW w:w="852" w:type="dxa"/>
            <w:shd w:val="pct20" w:color="000000" w:fill="FFFFFF"/>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77,2</w:t>
            </w:r>
          </w:p>
        </w:tc>
        <w:tc>
          <w:tcPr>
            <w:tcW w:w="855" w:type="dxa"/>
            <w:shd w:val="pct20" w:color="000000" w:fill="FFFFFF"/>
            <w:vAlign w:val="center"/>
          </w:tcPr>
          <w:p w:rsidR="009453C1" w:rsidRDefault="009453C1" w:rsidP="00DB7CF1">
            <w:pPr>
              <w:jc w:val="right"/>
              <w:rPr>
                <w:rFonts w:ascii="Verdana" w:hAnsi="Verdana" w:cs="Arial"/>
                <w:bCs/>
                <w:sz w:val="18"/>
                <w:szCs w:val="18"/>
              </w:rPr>
            </w:pPr>
            <w:r>
              <w:rPr>
                <w:rFonts w:ascii="Verdana" w:hAnsi="Verdana" w:cs="Arial"/>
                <w:bCs/>
                <w:sz w:val="18"/>
                <w:szCs w:val="18"/>
              </w:rPr>
              <w:t>75,1</w:t>
            </w:r>
          </w:p>
        </w:tc>
        <w:tc>
          <w:tcPr>
            <w:tcW w:w="852" w:type="dxa"/>
            <w:shd w:val="pct20" w:color="000000" w:fill="FFFFFF"/>
            <w:vAlign w:val="center"/>
          </w:tcPr>
          <w:p w:rsidR="009453C1" w:rsidRPr="00AE22B9" w:rsidRDefault="009453C1" w:rsidP="00DB7CF1">
            <w:pPr>
              <w:jc w:val="right"/>
              <w:rPr>
                <w:rFonts w:ascii="Verdana" w:hAnsi="Verdana" w:cs="Arial"/>
                <w:bCs/>
                <w:sz w:val="18"/>
                <w:szCs w:val="18"/>
              </w:rPr>
            </w:pPr>
            <w:r w:rsidRPr="00AE22B9">
              <w:rPr>
                <w:rFonts w:ascii="Verdana" w:hAnsi="Verdana" w:cs="Arial"/>
                <w:bCs/>
                <w:sz w:val="18"/>
                <w:szCs w:val="18"/>
              </w:rPr>
              <w:t>76,0</w:t>
            </w:r>
          </w:p>
        </w:tc>
        <w:tc>
          <w:tcPr>
            <w:tcW w:w="845" w:type="dxa"/>
            <w:shd w:val="pct20" w:color="000000" w:fill="FFFFFF"/>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76,2</w:t>
            </w:r>
          </w:p>
        </w:tc>
        <w:tc>
          <w:tcPr>
            <w:tcW w:w="845" w:type="dxa"/>
            <w:shd w:val="pct20" w:color="000000" w:fill="FFFFFF"/>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76,1</w:t>
            </w:r>
          </w:p>
        </w:tc>
        <w:tc>
          <w:tcPr>
            <w:tcW w:w="845" w:type="dxa"/>
            <w:shd w:val="pct20" w:color="000000" w:fill="FFFFFF"/>
            <w:vAlign w:val="center"/>
          </w:tcPr>
          <w:p w:rsidR="009453C1" w:rsidRDefault="00B3780F" w:rsidP="00B3780F">
            <w:pPr>
              <w:jc w:val="right"/>
              <w:rPr>
                <w:rFonts w:ascii="Verdana" w:hAnsi="Verdana" w:cs="Arial"/>
                <w:bCs/>
                <w:sz w:val="18"/>
                <w:szCs w:val="18"/>
              </w:rPr>
            </w:pPr>
            <w:r>
              <w:rPr>
                <w:rFonts w:ascii="Verdana" w:hAnsi="Verdana" w:cs="Arial"/>
                <w:bCs/>
                <w:sz w:val="18"/>
                <w:szCs w:val="18"/>
              </w:rPr>
              <w:t>76,0</w:t>
            </w:r>
          </w:p>
        </w:tc>
      </w:tr>
      <w:tr w:rsidR="009453C1" w:rsidRPr="00043E0E" w:rsidTr="00B3780F">
        <w:trPr>
          <w:trHeight w:val="340"/>
        </w:trPr>
        <w:tc>
          <w:tcPr>
            <w:tcW w:w="3966" w:type="dxa"/>
            <w:shd w:val="clear" w:color="auto" w:fill="F2F2F2" w:themeFill="background1" w:themeFillShade="F2"/>
            <w:vAlign w:val="center"/>
          </w:tcPr>
          <w:p w:rsidR="009453C1" w:rsidRPr="00DB7CF1" w:rsidRDefault="009453C1" w:rsidP="001E334B">
            <w:pPr>
              <w:rPr>
                <w:rFonts w:ascii="Verdana" w:hAnsi="Verdana" w:cs="Arial"/>
                <w:sz w:val="20"/>
              </w:rPr>
            </w:pPr>
            <w:r w:rsidRPr="00DB7CF1">
              <w:rPr>
                <w:rFonts w:ascii="Verdana" w:hAnsi="Verdana" w:cs="Arial"/>
                <w:sz w:val="20"/>
              </w:rPr>
              <w:t>Ordini interni</w:t>
            </w:r>
          </w:p>
        </w:tc>
        <w:tc>
          <w:tcPr>
            <w:tcW w:w="852" w:type="dxa"/>
            <w:shd w:val="clear" w:color="auto" w:fill="F2F2F2" w:themeFill="background1" w:themeFillShade="F2"/>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2,5</w:t>
            </w:r>
          </w:p>
        </w:tc>
        <w:tc>
          <w:tcPr>
            <w:tcW w:w="855" w:type="dxa"/>
            <w:shd w:val="clear" w:color="auto" w:fill="F2F2F2" w:themeFill="background1" w:themeFillShade="F2"/>
            <w:vAlign w:val="center"/>
          </w:tcPr>
          <w:p w:rsidR="009453C1" w:rsidRDefault="009453C1" w:rsidP="00DB7CF1">
            <w:pPr>
              <w:jc w:val="right"/>
              <w:rPr>
                <w:rFonts w:ascii="Verdana" w:hAnsi="Verdana" w:cs="Arial"/>
                <w:bCs/>
                <w:sz w:val="18"/>
                <w:szCs w:val="18"/>
              </w:rPr>
            </w:pPr>
            <w:r>
              <w:rPr>
                <w:rFonts w:ascii="Verdana" w:hAnsi="Verdana" w:cs="Arial"/>
                <w:bCs/>
                <w:sz w:val="18"/>
                <w:szCs w:val="18"/>
              </w:rPr>
              <w:t>1,6</w:t>
            </w:r>
          </w:p>
        </w:tc>
        <w:tc>
          <w:tcPr>
            <w:tcW w:w="852" w:type="dxa"/>
            <w:shd w:val="clear" w:color="auto" w:fill="F2F2F2" w:themeFill="background1" w:themeFillShade="F2"/>
            <w:vAlign w:val="center"/>
          </w:tcPr>
          <w:p w:rsidR="009453C1" w:rsidRPr="00AE22B9" w:rsidRDefault="009453C1" w:rsidP="00DB7CF1">
            <w:pPr>
              <w:jc w:val="right"/>
              <w:rPr>
                <w:rFonts w:ascii="Verdana" w:hAnsi="Verdana" w:cs="Arial"/>
                <w:bCs/>
                <w:sz w:val="18"/>
                <w:szCs w:val="18"/>
              </w:rPr>
            </w:pPr>
            <w:r w:rsidRPr="00AE22B9">
              <w:rPr>
                <w:rFonts w:ascii="Verdana" w:hAnsi="Verdana" w:cs="Arial"/>
                <w:bCs/>
                <w:sz w:val="18"/>
                <w:szCs w:val="18"/>
              </w:rPr>
              <w:t>2,3</w:t>
            </w:r>
          </w:p>
        </w:tc>
        <w:tc>
          <w:tcPr>
            <w:tcW w:w="845" w:type="dxa"/>
            <w:shd w:val="clear" w:color="auto" w:fill="F2F2F2" w:themeFill="background1" w:themeFillShade="F2"/>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2,7</w:t>
            </w:r>
          </w:p>
        </w:tc>
        <w:tc>
          <w:tcPr>
            <w:tcW w:w="845" w:type="dxa"/>
            <w:shd w:val="clear" w:color="auto" w:fill="F2F2F2" w:themeFill="background1" w:themeFillShade="F2"/>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-0,9</w:t>
            </w:r>
          </w:p>
        </w:tc>
        <w:tc>
          <w:tcPr>
            <w:tcW w:w="845" w:type="dxa"/>
            <w:shd w:val="clear" w:color="auto" w:fill="F2F2F2" w:themeFill="background1" w:themeFillShade="F2"/>
            <w:vAlign w:val="center"/>
          </w:tcPr>
          <w:p w:rsidR="009453C1" w:rsidRDefault="00B3780F" w:rsidP="00B3780F">
            <w:pPr>
              <w:jc w:val="right"/>
              <w:rPr>
                <w:rFonts w:ascii="Verdana" w:hAnsi="Verdana" w:cs="Arial"/>
                <w:bCs/>
                <w:sz w:val="18"/>
                <w:szCs w:val="18"/>
              </w:rPr>
            </w:pPr>
            <w:r>
              <w:rPr>
                <w:rFonts w:ascii="Verdana" w:hAnsi="Verdana" w:cs="Arial"/>
                <w:bCs/>
                <w:sz w:val="18"/>
                <w:szCs w:val="18"/>
              </w:rPr>
              <w:t>-0,1</w:t>
            </w:r>
          </w:p>
        </w:tc>
      </w:tr>
      <w:tr w:rsidR="009453C1" w:rsidRPr="001868D8" w:rsidTr="00B3780F">
        <w:trPr>
          <w:trHeight w:val="340"/>
        </w:trPr>
        <w:tc>
          <w:tcPr>
            <w:tcW w:w="3966" w:type="dxa"/>
            <w:shd w:val="clear" w:color="auto" w:fill="BFBFBF" w:themeFill="background1" w:themeFillShade="BF"/>
            <w:vAlign w:val="center"/>
            <w:hideMark/>
          </w:tcPr>
          <w:p w:rsidR="009453C1" w:rsidRPr="00DB7CF1" w:rsidRDefault="009453C1" w:rsidP="001E334B">
            <w:pPr>
              <w:rPr>
                <w:rFonts w:ascii="Verdana" w:hAnsi="Verdana" w:cs="Arial"/>
                <w:sz w:val="20"/>
              </w:rPr>
            </w:pPr>
            <w:r w:rsidRPr="00DB7CF1">
              <w:rPr>
                <w:rFonts w:ascii="Verdana" w:hAnsi="Verdana" w:cs="Arial"/>
                <w:sz w:val="20"/>
              </w:rPr>
              <w:t>Ordini esteri</w:t>
            </w:r>
          </w:p>
        </w:tc>
        <w:tc>
          <w:tcPr>
            <w:tcW w:w="852" w:type="dxa"/>
            <w:shd w:val="clear" w:color="auto" w:fill="BFBFBF" w:themeFill="background1" w:themeFillShade="BF"/>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4,5</w:t>
            </w:r>
          </w:p>
        </w:tc>
        <w:tc>
          <w:tcPr>
            <w:tcW w:w="855" w:type="dxa"/>
            <w:shd w:val="clear" w:color="auto" w:fill="BFBFBF" w:themeFill="background1" w:themeFillShade="BF"/>
            <w:vAlign w:val="center"/>
          </w:tcPr>
          <w:p w:rsidR="009453C1" w:rsidRDefault="009453C1" w:rsidP="00DB7CF1">
            <w:pPr>
              <w:jc w:val="right"/>
              <w:rPr>
                <w:rFonts w:ascii="Verdana" w:hAnsi="Verdana" w:cs="Arial"/>
                <w:bCs/>
                <w:sz w:val="18"/>
                <w:szCs w:val="18"/>
              </w:rPr>
            </w:pPr>
            <w:r>
              <w:rPr>
                <w:rFonts w:ascii="Verdana" w:hAnsi="Verdana" w:cs="Arial"/>
                <w:bCs/>
                <w:sz w:val="18"/>
                <w:szCs w:val="18"/>
              </w:rPr>
              <w:t>5,5</w:t>
            </w:r>
          </w:p>
        </w:tc>
        <w:tc>
          <w:tcPr>
            <w:tcW w:w="852" w:type="dxa"/>
            <w:shd w:val="clear" w:color="auto" w:fill="BFBFBF" w:themeFill="background1" w:themeFillShade="BF"/>
            <w:vAlign w:val="center"/>
          </w:tcPr>
          <w:p w:rsidR="009453C1" w:rsidRPr="00AE22B9" w:rsidRDefault="009453C1" w:rsidP="00DB7CF1">
            <w:pPr>
              <w:jc w:val="right"/>
              <w:rPr>
                <w:rFonts w:ascii="Verdana" w:hAnsi="Verdana" w:cs="Arial"/>
                <w:bCs/>
                <w:sz w:val="18"/>
                <w:szCs w:val="18"/>
              </w:rPr>
            </w:pPr>
            <w:r w:rsidRPr="00AE22B9">
              <w:rPr>
                <w:rFonts w:ascii="Verdana" w:hAnsi="Verdana" w:cs="Arial"/>
                <w:bCs/>
                <w:sz w:val="18"/>
                <w:szCs w:val="18"/>
              </w:rPr>
              <w:t>3,3</w:t>
            </w:r>
          </w:p>
        </w:tc>
        <w:tc>
          <w:tcPr>
            <w:tcW w:w="845" w:type="dxa"/>
            <w:shd w:val="clear" w:color="auto" w:fill="BFBFBF" w:themeFill="background1" w:themeFillShade="BF"/>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4,9</w:t>
            </w:r>
          </w:p>
        </w:tc>
        <w:tc>
          <w:tcPr>
            <w:tcW w:w="845" w:type="dxa"/>
            <w:shd w:val="clear" w:color="auto" w:fill="BFBFBF" w:themeFill="background1" w:themeFillShade="BF"/>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1,0</w:t>
            </w:r>
          </w:p>
        </w:tc>
        <w:tc>
          <w:tcPr>
            <w:tcW w:w="845" w:type="dxa"/>
            <w:shd w:val="clear" w:color="auto" w:fill="BFBFBF" w:themeFill="background1" w:themeFillShade="BF"/>
            <w:vAlign w:val="center"/>
          </w:tcPr>
          <w:p w:rsidR="009453C1" w:rsidRDefault="00B3780F" w:rsidP="00B3780F">
            <w:pPr>
              <w:jc w:val="right"/>
              <w:rPr>
                <w:rFonts w:ascii="Verdana" w:hAnsi="Verdana" w:cs="Arial"/>
                <w:bCs/>
                <w:sz w:val="18"/>
                <w:szCs w:val="18"/>
              </w:rPr>
            </w:pPr>
            <w:r>
              <w:rPr>
                <w:rFonts w:ascii="Verdana" w:hAnsi="Verdana" w:cs="Arial"/>
                <w:bCs/>
                <w:sz w:val="18"/>
                <w:szCs w:val="18"/>
              </w:rPr>
              <w:t>0,3</w:t>
            </w:r>
          </w:p>
        </w:tc>
      </w:tr>
      <w:tr w:rsidR="009453C1" w:rsidRPr="00043E0E" w:rsidTr="00B3780F">
        <w:trPr>
          <w:trHeight w:val="340"/>
        </w:trPr>
        <w:tc>
          <w:tcPr>
            <w:tcW w:w="3966" w:type="dxa"/>
            <w:shd w:val="clear" w:color="auto" w:fill="F2F2F2" w:themeFill="background1" w:themeFillShade="F2"/>
            <w:vAlign w:val="center"/>
          </w:tcPr>
          <w:p w:rsidR="009453C1" w:rsidRPr="00DB7CF1" w:rsidRDefault="009453C1" w:rsidP="002B6274">
            <w:pPr>
              <w:rPr>
                <w:rFonts w:ascii="Verdana" w:hAnsi="Verdana" w:cs="Arial"/>
                <w:sz w:val="20"/>
              </w:rPr>
            </w:pPr>
            <w:r w:rsidRPr="00DB7CF1">
              <w:rPr>
                <w:rFonts w:ascii="Verdana" w:hAnsi="Verdana" w:cs="Arial"/>
                <w:sz w:val="20"/>
              </w:rPr>
              <w:t>Periodo produzione assicurata (3)</w:t>
            </w:r>
          </w:p>
        </w:tc>
        <w:tc>
          <w:tcPr>
            <w:tcW w:w="852" w:type="dxa"/>
            <w:shd w:val="clear" w:color="auto" w:fill="F2F2F2" w:themeFill="background1" w:themeFillShade="F2"/>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70,8</w:t>
            </w:r>
          </w:p>
        </w:tc>
        <w:tc>
          <w:tcPr>
            <w:tcW w:w="855" w:type="dxa"/>
            <w:shd w:val="clear" w:color="auto" w:fill="F2F2F2" w:themeFill="background1" w:themeFillShade="F2"/>
            <w:vAlign w:val="center"/>
          </w:tcPr>
          <w:p w:rsidR="009453C1" w:rsidRDefault="009453C1" w:rsidP="00DB7CF1">
            <w:pPr>
              <w:jc w:val="right"/>
              <w:rPr>
                <w:rFonts w:ascii="Verdana" w:hAnsi="Verdana" w:cs="Arial"/>
                <w:bCs/>
                <w:sz w:val="18"/>
                <w:szCs w:val="18"/>
              </w:rPr>
            </w:pPr>
            <w:r>
              <w:rPr>
                <w:rFonts w:ascii="Verdana" w:hAnsi="Verdana" w:cs="Arial"/>
                <w:bCs/>
                <w:sz w:val="18"/>
                <w:szCs w:val="18"/>
              </w:rPr>
              <w:t>68,7</w:t>
            </w:r>
          </w:p>
        </w:tc>
        <w:tc>
          <w:tcPr>
            <w:tcW w:w="852" w:type="dxa"/>
            <w:shd w:val="clear" w:color="auto" w:fill="F2F2F2" w:themeFill="background1" w:themeFillShade="F2"/>
            <w:vAlign w:val="center"/>
          </w:tcPr>
          <w:p w:rsidR="009453C1" w:rsidRPr="00AE22B9" w:rsidRDefault="009453C1" w:rsidP="00DB7CF1">
            <w:pPr>
              <w:jc w:val="right"/>
              <w:rPr>
                <w:rFonts w:ascii="Verdana" w:hAnsi="Verdana" w:cs="Arial"/>
                <w:bCs/>
                <w:sz w:val="18"/>
                <w:szCs w:val="18"/>
              </w:rPr>
            </w:pPr>
            <w:r>
              <w:rPr>
                <w:rFonts w:ascii="Verdana" w:hAnsi="Verdana" w:cs="Arial"/>
                <w:bCs/>
                <w:sz w:val="18"/>
                <w:szCs w:val="18"/>
              </w:rPr>
              <w:t>72,8</w:t>
            </w:r>
          </w:p>
        </w:tc>
        <w:tc>
          <w:tcPr>
            <w:tcW w:w="845" w:type="dxa"/>
            <w:shd w:val="clear" w:color="auto" w:fill="F2F2F2" w:themeFill="background1" w:themeFillShade="F2"/>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71,3</w:t>
            </w:r>
          </w:p>
        </w:tc>
        <w:tc>
          <w:tcPr>
            <w:tcW w:w="845" w:type="dxa"/>
            <w:shd w:val="clear" w:color="auto" w:fill="F2F2F2" w:themeFill="background1" w:themeFillShade="F2"/>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67,2</w:t>
            </w:r>
          </w:p>
        </w:tc>
        <w:tc>
          <w:tcPr>
            <w:tcW w:w="845" w:type="dxa"/>
            <w:shd w:val="clear" w:color="auto" w:fill="F2F2F2" w:themeFill="background1" w:themeFillShade="F2"/>
            <w:vAlign w:val="center"/>
          </w:tcPr>
          <w:p w:rsidR="009453C1" w:rsidRDefault="00B3780F" w:rsidP="00B3780F">
            <w:pPr>
              <w:jc w:val="right"/>
              <w:rPr>
                <w:rFonts w:ascii="Verdana" w:hAnsi="Verdana" w:cs="Arial"/>
                <w:bCs/>
                <w:sz w:val="18"/>
                <w:szCs w:val="18"/>
              </w:rPr>
            </w:pPr>
            <w:r>
              <w:rPr>
                <w:rFonts w:ascii="Verdana" w:hAnsi="Verdana" w:cs="Arial"/>
                <w:bCs/>
                <w:sz w:val="18"/>
                <w:szCs w:val="18"/>
              </w:rPr>
              <w:t>63,6</w:t>
            </w:r>
          </w:p>
        </w:tc>
      </w:tr>
      <w:tr w:rsidR="009453C1" w:rsidRPr="00043E0E" w:rsidTr="00B3780F">
        <w:trPr>
          <w:trHeight w:val="340"/>
        </w:trPr>
        <w:tc>
          <w:tcPr>
            <w:tcW w:w="3966" w:type="dxa"/>
            <w:shd w:val="clear" w:color="auto" w:fill="BFBFBF" w:themeFill="background1" w:themeFillShade="BF"/>
            <w:vAlign w:val="center"/>
            <w:hideMark/>
          </w:tcPr>
          <w:p w:rsidR="009453C1" w:rsidRPr="00DB7CF1" w:rsidRDefault="009453C1" w:rsidP="001E334B">
            <w:pPr>
              <w:rPr>
                <w:rFonts w:ascii="Verdana" w:hAnsi="Verdana" w:cs="Arial"/>
                <w:sz w:val="20"/>
              </w:rPr>
            </w:pPr>
            <w:r w:rsidRPr="00DB7CF1">
              <w:rPr>
                <w:rFonts w:ascii="Verdana" w:hAnsi="Verdana" w:cs="Arial"/>
                <w:sz w:val="20"/>
              </w:rPr>
              <w:t>Fatturato totale</w:t>
            </w:r>
          </w:p>
        </w:tc>
        <w:tc>
          <w:tcPr>
            <w:tcW w:w="852" w:type="dxa"/>
            <w:shd w:val="clear" w:color="auto" w:fill="BFBFBF" w:themeFill="background1" w:themeFillShade="BF"/>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6,0</w:t>
            </w:r>
          </w:p>
        </w:tc>
        <w:tc>
          <w:tcPr>
            <w:tcW w:w="855" w:type="dxa"/>
            <w:shd w:val="clear" w:color="auto" w:fill="BFBFBF" w:themeFill="background1" w:themeFillShade="BF"/>
            <w:vAlign w:val="center"/>
          </w:tcPr>
          <w:p w:rsidR="009453C1" w:rsidRDefault="009453C1" w:rsidP="00DB7CF1">
            <w:pPr>
              <w:jc w:val="right"/>
              <w:rPr>
                <w:rFonts w:ascii="Verdana" w:hAnsi="Verdana" w:cs="Arial"/>
                <w:bCs/>
                <w:sz w:val="18"/>
                <w:szCs w:val="18"/>
              </w:rPr>
            </w:pPr>
            <w:r>
              <w:rPr>
                <w:rFonts w:ascii="Verdana" w:hAnsi="Verdana" w:cs="Arial"/>
                <w:bCs/>
                <w:sz w:val="18"/>
                <w:szCs w:val="18"/>
              </w:rPr>
              <w:t>4,4</w:t>
            </w:r>
          </w:p>
        </w:tc>
        <w:tc>
          <w:tcPr>
            <w:tcW w:w="852" w:type="dxa"/>
            <w:shd w:val="clear" w:color="auto" w:fill="BFBFBF" w:themeFill="background1" w:themeFillShade="BF"/>
            <w:vAlign w:val="center"/>
          </w:tcPr>
          <w:p w:rsidR="009453C1" w:rsidRPr="00AE22B9" w:rsidRDefault="009453C1" w:rsidP="00DB7CF1">
            <w:pPr>
              <w:jc w:val="right"/>
              <w:rPr>
                <w:rFonts w:ascii="Verdana" w:hAnsi="Verdana" w:cs="Arial"/>
                <w:bCs/>
                <w:sz w:val="18"/>
                <w:szCs w:val="18"/>
              </w:rPr>
            </w:pPr>
            <w:r>
              <w:rPr>
                <w:rFonts w:ascii="Verdana" w:hAnsi="Verdana" w:cs="Arial"/>
                <w:bCs/>
                <w:sz w:val="18"/>
                <w:szCs w:val="18"/>
              </w:rPr>
              <w:t>3,3</w:t>
            </w:r>
          </w:p>
        </w:tc>
        <w:tc>
          <w:tcPr>
            <w:tcW w:w="845" w:type="dxa"/>
            <w:shd w:val="clear" w:color="auto" w:fill="BFBFBF" w:themeFill="background1" w:themeFillShade="BF"/>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4,7</w:t>
            </w:r>
          </w:p>
        </w:tc>
        <w:tc>
          <w:tcPr>
            <w:tcW w:w="845" w:type="dxa"/>
            <w:shd w:val="clear" w:color="auto" w:fill="BFBFBF" w:themeFill="background1" w:themeFillShade="BF"/>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1,7</w:t>
            </w:r>
          </w:p>
        </w:tc>
        <w:tc>
          <w:tcPr>
            <w:tcW w:w="845" w:type="dxa"/>
            <w:shd w:val="clear" w:color="auto" w:fill="BFBFBF" w:themeFill="background1" w:themeFillShade="BF"/>
            <w:vAlign w:val="center"/>
          </w:tcPr>
          <w:p w:rsidR="009453C1" w:rsidRDefault="00B3780F" w:rsidP="00B3780F">
            <w:pPr>
              <w:jc w:val="right"/>
              <w:rPr>
                <w:rFonts w:ascii="Verdana" w:hAnsi="Verdana" w:cs="Arial"/>
                <w:bCs/>
                <w:sz w:val="18"/>
                <w:szCs w:val="18"/>
              </w:rPr>
            </w:pPr>
            <w:r>
              <w:rPr>
                <w:rFonts w:ascii="Verdana" w:hAnsi="Verdana" w:cs="Arial"/>
                <w:bCs/>
                <w:sz w:val="18"/>
                <w:szCs w:val="18"/>
              </w:rPr>
              <w:t>1,8</w:t>
            </w:r>
          </w:p>
        </w:tc>
      </w:tr>
      <w:tr w:rsidR="009453C1" w:rsidRPr="00043E0E" w:rsidTr="00B3780F">
        <w:trPr>
          <w:trHeight w:val="340"/>
        </w:trPr>
        <w:tc>
          <w:tcPr>
            <w:tcW w:w="3966" w:type="dxa"/>
            <w:shd w:val="clear" w:color="auto" w:fill="F2F2F2" w:themeFill="background1" w:themeFillShade="F2"/>
            <w:vAlign w:val="center"/>
          </w:tcPr>
          <w:p w:rsidR="009453C1" w:rsidRPr="00DB7CF1" w:rsidRDefault="009453C1" w:rsidP="001E334B">
            <w:pPr>
              <w:rPr>
                <w:rFonts w:ascii="Verdana" w:hAnsi="Verdana" w:cs="Arial"/>
                <w:sz w:val="20"/>
              </w:rPr>
            </w:pPr>
            <w:r w:rsidRPr="00DB7CF1">
              <w:rPr>
                <w:rFonts w:ascii="Verdana" w:hAnsi="Verdana" w:cs="Arial"/>
                <w:sz w:val="20"/>
              </w:rPr>
              <w:t>Giacenze prodotti finiti (4)</w:t>
            </w:r>
          </w:p>
        </w:tc>
        <w:tc>
          <w:tcPr>
            <w:tcW w:w="852" w:type="dxa"/>
            <w:shd w:val="clear" w:color="auto" w:fill="F2F2F2" w:themeFill="background1" w:themeFillShade="F2"/>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-1,2</w:t>
            </w:r>
          </w:p>
        </w:tc>
        <w:tc>
          <w:tcPr>
            <w:tcW w:w="855" w:type="dxa"/>
            <w:shd w:val="clear" w:color="auto" w:fill="F2F2F2" w:themeFill="background1" w:themeFillShade="F2"/>
            <w:vAlign w:val="center"/>
          </w:tcPr>
          <w:p w:rsidR="009453C1" w:rsidRDefault="009453C1" w:rsidP="00DB7CF1">
            <w:pPr>
              <w:jc w:val="right"/>
              <w:rPr>
                <w:rFonts w:ascii="Verdana" w:hAnsi="Verdana" w:cs="Arial"/>
                <w:bCs/>
                <w:sz w:val="18"/>
                <w:szCs w:val="18"/>
              </w:rPr>
            </w:pPr>
            <w:r>
              <w:rPr>
                <w:rFonts w:ascii="Verdana" w:hAnsi="Verdana" w:cs="Arial"/>
                <w:bCs/>
                <w:sz w:val="18"/>
                <w:szCs w:val="18"/>
              </w:rPr>
              <w:t>-1,5</w:t>
            </w:r>
          </w:p>
        </w:tc>
        <w:tc>
          <w:tcPr>
            <w:tcW w:w="852" w:type="dxa"/>
            <w:shd w:val="clear" w:color="auto" w:fill="F2F2F2" w:themeFill="background1" w:themeFillShade="F2"/>
            <w:vAlign w:val="center"/>
          </w:tcPr>
          <w:p w:rsidR="009453C1" w:rsidRPr="00AE22B9" w:rsidRDefault="009453C1" w:rsidP="00DB7CF1">
            <w:pPr>
              <w:jc w:val="right"/>
              <w:rPr>
                <w:rFonts w:ascii="Verdana" w:hAnsi="Verdana" w:cs="Arial"/>
                <w:bCs/>
                <w:sz w:val="18"/>
                <w:szCs w:val="18"/>
              </w:rPr>
            </w:pPr>
            <w:r>
              <w:rPr>
                <w:rFonts w:ascii="Verdana" w:hAnsi="Verdana" w:cs="Arial"/>
                <w:bCs/>
                <w:sz w:val="18"/>
                <w:szCs w:val="18"/>
              </w:rPr>
              <w:t>-0,5</w:t>
            </w:r>
          </w:p>
        </w:tc>
        <w:tc>
          <w:tcPr>
            <w:tcW w:w="845" w:type="dxa"/>
            <w:shd w:val="clear" w:color="auto" w:fill="F2F2F2" w:themeFill="background1" w:themeFillShade="F2"/>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-1,4</w:t>
            </w:r>
          </w:p>
        </w:tc>
        <w:tc>
          <w:tcPr>
            <w:tcW w:w="845" w:type="dxa"/>
            <w:shd w:val="clear" w:color="auto" w:fill="F2F2F2" w:themeFill="background1" w:themeFillShade="F2"/>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-0,6</w:t>
            </w:r>
          </w:p>
        </w:tc>
        <w:tc>
          <w:tcPr>
            <w:tcW w:w="845" w:type="dxa"/>
            <w:shd w:val="clear" w:color="auto" w:fill="F2F2F2" w:themeFill="background1" w:themeFillShade="F2"/>
            <w:vAlign w:val="center"/>
          </w:tcPr>
          <w:p w:rsidR="009453C1" w:rsidRDefault="00B3780F" w:rsidP="00B3780F">
            <w:pPr>
              <w:jc w:val="right"/>
              <w:rPr>
                <w:rFonts w:ascii="Verdana" w:hAnsi="Verdana" w:cs="Arial"/>
                <w:bCs/>
                <w:sz w:val="18"/>
                <w:szCs w:val="18"/>
              </w:rPr>
            </w:pPr>
            <w:r>
              <w:rPr>
                <w:rFonts w:ascii="Verdana" w:hAnsi="Verdana" w:cs="Arial"/>
                <w:bCs/>
                <w:sz w:val="18"/>
                <w:szCs w:val="18"/>
              </w:rPr>
              <w:t>-0,5</w:t>
            </w:r>
          </w:p>
        </w:tc>
      </w:tr>
      <w:tr w:rsidR="009453C1" w:rsidRPr="00043E0E" w:rsidTr="00B3780F">
        <w:trPr>
          <w:trHeight w:val="340"/>
        </w:trPr>
        <w:tc>
          <w:tcPr>
            <w:tcW w:w="3966" w:type="dxa"/>
            <w:shd w:val="clear" w:color="auto" w:fill="BFBFBF" w:themeFill="background1" w:themeFillShade="BF"/>
            <w:vAlign w:val="center"/>
          </w:tcPr>
          <w:p w:rsidR="009453C1" w:rsidRPr="00DB7CF1" w:rsidRDefault="009453C1" w:rsidP="00DB7CF1">
            <w:pPr>
              <w:rPr>
                <w:rFonts w:ascii="Verdana" w:hAnsi="Verdana" w:cs="Arial"/>
                <w:sz w:val="20"/>
              </w:rPr>
            </w:pPr>
            <w:r w:rsidRPr="00DB7CF1">
              <w:rPr>
                <w:rFonts w:ascii="Verdana" w:hAnsi="Verdana" w:cs="Arial"/>
                <w:sz w:val="20"/>
              </w:rPr>
              <w:t xml:space="preserve">Giacenze materiali per la </w:t>
            </w:r>
            <w:proofErr w:type="spellStart"/>
            <w:r w:rsidRPr="00DB7CF1">
              <w:rPr>
                <w:rFonts w:ascii="Verdana" w:hAnsi="Verdana" w:cs="Arial"/>
                <w:sz w:val="20"/>
              </w:rPr>
              <w:t>produz</w:t>
            </w:r>
            <w:proofErr w:type="spellEnd"/>
            <w:r>
              <w:rPr>
                <w:rFonts w:ascii="Verdana" w:hAnsi="Verdana" w:cs="Arial"/>
                <w:sz w:val="20"/>
              </w:rPr>
              <w:t>.</w:t>
            </w:r>
            <w:r w:rsidRPr="00DB7CF1">
              <w:rPr>
                <w:rFonts w:ascii="Verdana" w:hAnsi="Verdana" w:cs="Arial"/>
                <w:sz w:val="20"/>
              </w:rPr>
              <w:t xml:space="preserve"> (4)</w:t>
            </w:r>
          </w:p>
        </w:tc>
        <w:tc>
          <w:tcPr>
            <w:tcW w:w="852" w:type="dxa"/>
            <w:shd w:val="clear" w:color="auto" w:fill="BFBFBF" w:themeFill="background1" w:themeFillShade="BF"/>
            <w:vAlign w:val="center"/>
          </w:tcPr>
          <w:p w:rsidR="009453C1" w:rsidRPr="005F24D1" w:rsidRDefault="009453C1" w:rsidP="00DB7CF1">
            <w:pPr>
              <w:jc w:val="right"/>
              <w:rPr>
                <w:rFonts w:ascii="Verdana" w:hAnsi="Verdana" w:cs="Arial"/>
                <w:bCs/>
                <w:sz w:val="18"/>
                <w:szCs w:val="18"/>
              </w:rPr>
            </w:pPr>
            <w:r>
              <w:rPr>
                <w:rFonts w:ascii="Verdana" w:hAnsi="Verdana" w:cs="Arial"/>
                <w:bCs/>
                <w:sz w:val="18"/>
                <w:szCs w:val="18"/>
              </w:rPr>
              <w:t>2,1</w:t>
            </w:r>
          </w:p>
        </w:tc>
        <w:tc>
          <w:tcPr>
            <w:tcW w:w="855" w:type="dxa"/>
            <w:shd w:val="clear" w:color="auto" w:fill="BFBFBF" w:themeFill="background1" w:themeFillShade="BF"/>
            <w:vAlign w:val="center"/>
          </w:tcPr>
          <w:p w:rsidR="009453C1" w:rsidRDefault="009453C1" w:rsidP="00DB7CF1">
            <w:pPr>
              <w:jc w:val="right"/>
              <w:rPr>
                <w:rFonts w:ascii="Verdana" w:hAnsi="Verdana" w:cs="Arial"/>
                <w:bCs/>
                <w:sz w:val="18"/>
                <w:szCs w:val="18"/>
              </w:rPr>
            </w:pPr>
            <w:r>
              <w:rPr>
                <w:rFonts w:ascii="Verdana" w:hAnsi="Verdana" w:cs="Arial"/>
                <w:bCs/>
                <w:sz w:val="18"/>
                <w:szCs w:val="18"/>
              </w:rPr>
              <w:t>2,0</w:t>
            </w:r>
          </w:p>
        </w:tc>
        <w:tc>
          <w:tcPr>
            <w:tcW w:w="852" w:type="dxa"/>
            <w:shd w:val="clear" w:color="auto" w:fill="BFBFBF" w:themeFill="background1" w:themeFillShade="BF"/>
            <w:vAlign w:val="center"/>
          </w:tcPr>
          <w:p w:rsidR="009453C1" w:rsidRPr="00AE22B9" w:rsidRDefault="009453C1" w:rsidP="00DB7CF1">
            <w:pPr>
              <w:jc w:val="right"/>
              <w:rPr>
                <w:rFonts w:ascii="Verdana" w:hAnsi="Verdana" w:cs="Arial"/>
                <w:bCs/>
                <w:sz w:val="18"/>
                <w:szCs w:val="18"/>
              </w:rPr>
            </w:pPr>
            <w:r>
              <w:rPr>
                <w:rFonts w:ascii="Verdana" w:hAnsi="Verdana" w:cs="Arial"/>
                <w:bCs/>
                <w:sz w:val="18"/>
                <w:szCs w:val="18"/>
              </w:rPr>
              <w:t>2,9</w:t>
            </w:r>
          </w:p>
        </w:tc>
        <w:tc>
          <w:tcPr>
            <w:tcW w:w="845" w:type="dxa"/>
            <w:shd w:val="clear" w:color="auto" w:fill="BFBFBF" w:themeFill="background1" w:themeFillShade="BF"/>
            <w:vAlign w:val="center"/>
          </w:tcPr>
          <w:p w:rsidR="009453C1" w:rsidRPr="001E5D65" w:rsidRDefault="009453C1" w:rsidP="00DB7CF1">
            <w:pPr>
              <w:jc w:val="right"/>
              <w:rPr>
                <w:rFonts w:ascii="Verdana" w:hAnsi="Verdana" w:cs="Arial"/>
                <w:b/>
                <w:bCs/>
                <w:sz w:val="18"/>
                <w:szCs w:val="18"/>
              </w:rPr>
            </w:pPr>
            <w:r>
              <w:rPr>
                <w:rFonts w:ascii="Verdana" w:hAnsi="Verdana" w:cs="Arial"/>
                <w:b/>
                <w:bCs/>
                <w:sz w:val="18"/>
                <w:szCs w:val="18"/>
              </w:rPr>
              <w:t>2,2</w:t>
            </w:r>
          </w:p>
        </w:tc>
        <w:tc>
          <w:tcPr>
            <w:tcW w:w="845" w:type="dxa"/>
            <w:shd w:val="clear" w:color="auto" w:fill="BFBFBF" w:themeFill="background1" w:themeFillShade="BF"/>
            <w:vAlign w:val="center"/>
          </w:tcPr>
          <w:p w:rsidR="009453C1" w:rsidRPr="00380FCA" w:rsidRDefault="009453C1" w:rsidP="00063B7D">
            <w:pPr>
              <w:jc w:val="right"/>
              <w:rPr>
                <w:rFonts w:ascii="Verdana" w:hAnsi="Verdana" w:cs="Arial"/>
                <w:bCs/>
                <w:sz w:val="18"/>
                <w:szCs w:val="18"/>
              </w:rPr>
            </w:pPr>
            <w:r>
              <w:rPr>
                <w:rFonts w:ascii="Verdana" w:hAnsi="Verdana" w:cs="Arial"/>
                <w:bCs/>
                <w:sz w:val="18"/>
                <w:szCs w:val="18"/>
              </w:rPr>
              <w:t>1,7</w:t>
            </w:r>
          </w:p>
        </w:tc>
        <w:tc>
          <w:tcPr>
            <w:tcW w:w="845" w:type="dxa"/>
            <w:shd w:val="clear" w:color="auto" w:fill="BFBFBF" w:themeFill="background1" w:themeFillShade="BF"/>
            <w:vAlign w:val="center"/>
          </w:tcPr>
          <w:p w:rsidR="009453C1" w:rsidRDefault="00B3780F" w:rsidP="00B3780F">
            <w:pPr>
              <w:jc w:val="right"/>
              <w:rPr>
                <w:rFonts w:ascii="Verdana" w:hAnsi="Verdana" w:cs="Arial"/>
                <w:bCs/>
                <w:sz w:val="18"/>
                <w:szCs w:val="18"/>
              </w:rPr>
            </w:pPr>
            <w:r>
              <w:rPr>
                <w:rFonts w:ascii="Verdana" w:hAnsi="Verdana" w:cs="Arial"/>
                <w:bCs/>
                <w:sz w:val="18"/>
                <w:szCs w:val="18"/>
              </w:rPr>
              <w:t>1,6</w:t>
            </w:r>
          </w:p>
        </w:tc>
      </w:tr>
      <w:tr w:rsidR="009453C1" w:rsidRPr="00043E0E" w:rsidTr="009453C1">
        <w:trPr>
          <w:trHeight w:val="340"/>
        </w:trPr>
        <w:tc>
          <w:tcPr>
            <w:tcW w:w="3966" w:type="dxa"/>
            <w:shd w:val="clear" w:color="auto" w:fill="F2F2F2" w:themeFill="background1" w:themeFillShade="F2"/>
          </w:tcPr>
          <w:p w:rsidR="009453C1" w:rsidRPr="00043E0E" w:rsidRDefault="009453C1" w:rsidP="00926708">
            <w:pPr>
              <w:rPr>
                <w:rFonts w:ascii="Verdana" w:hAnsi="Verdana" w:cs="Arial"/>
                <w:sz w:val="18"/>
                <w:szCs w:val="18"/>
              </w:rPr>
            </w:pPr>
          </w:p>
        </w:tc>
        <w:tc>
          <w:tcPr>
            <w:tcW w:w="852" w:type="dxa"/>
            <w:shd w:val="clear" w:color="auto" w:fill="F2F2F2" w:themeFill="background1" w:themeFillShade="F2"/>
            <w:vAlign w:val="center"/>
          </w:tcPr>
          <w:p w:rsidR="009453C1" w:rsidRPr="005F24D1" w:rsidRDefault="009453C1" w:rsidP="001E5D65">
            <w:pPr>
              <w:jc w:val="right"/>
              <w:rPr>
                <w:rFonts w:ascii="Verdana" w:hAnsi="Verdana" w:cs="Arial"/>
                <w:bCs/>
                <w:sz w:val="18"/>
                <w:szCs w:val="18"/>
              </w:rPr>
            </w:pPr>
          </w:p>
        </w:tc>
        <w:tc>
          <w:tcPr>
            <w:tcW w:w="855" w:type="dxa"/>
            <w:shd w:val="clear" w:color="auto" w:fill="F2F2F2" w:themeFill="background1" w:themeFillShade="F2"/>
            <w:vAlign w:val="center"/>
          </w:tcPr>
          <w:p w:rsidR="009453C1" w:rsidRPr="005F24D1" w:rsidRDefault="009453C1" w:rsidP="001E5D65">
            <w:pPr>
              <w:jc w:val="right"/>
              <w:rPr>
                <w:rFonts w:ascii="Verdana" w:hAnsi="Verdana" w:cs="Arial"/>
                <w:bCs/>
                <w:sz w:val="18"/>
                <w:szCs w:val="18"/>
              </w:rPr>
            </w:pPr>
          </w:p>
        </w:tc>
        <w:tc>
          <w:tcPr>
            <w:tcW w:w="852" w:type="dxa"/>
            <w:shd w:val="clear" w:color="auto" w:fill="F2F2F2" w:themeFill="background1" w:themeFillShade="F2"/>
          </w:tcPr>
          <w:p w:rsidR="009453C1" w:rsidRPr="00AE22B9" w:rsidRDefault="009453C1" w:rsidP="001E5D65">
            <w:pPr>
              <w:jc w:val="right"/>
              <w:rPr>
                <w:rFonts w:ascii="Verdana" w:hAnsi="Verdana" w:cs="Arial"/>
                <w:bCs/>
                <w:sz w:val="18"/>
                <w:szCs w:val="18"/>
              </w:rPr>
            </w:pPr>
          </w:p>
        </w:tc>
        <w:tc>
          <w:tcPr>
            <w:tcW w:w="845" w:type="dxa"/>
            <w:shd w:val="clear" w:color="auto" w:fill="F2F2F2" w:themeFill="background1" w:themeFillShade="F2"/>
            <w:vAlign w:val="center"/>
          </w:tcPr>
          <w:p w:rsidR="009453C1" w:rsidRPr="001E5D65" w:rsidRDefault="009453C1" w:rsidP="001E5D65">
            <w:pPr>
              <w:jc w:val="right"/>
              <w:rPr>
                <w:rFonts w:ascii="Verdana" w:hAnsi="Verdana" w:cs="Arial"/>
                <w:b/>
                <w:bCs/>
                <w:sz w:val="18"/>
                <w:szCs w:val="18"/>
              </w:rPr>
            </w:pPr>
          </w:p>
        </w:tc>
        <w:tc>
          <w:tcPr>
            <w:tcW w:w="845" w:type="dxa"/>
            <w:shd w:val="clear" w:color="auto" w:fill="F2F2F2" w:themeFill="background1" w:themeFillShade="F2"/>
          </w:tcPr>
          <w:p w:rsidR="009453C1" w:rsidRPr="001E5D65" w:rsidRDefault="009453C1" w:rsidP="001E5D65">
            <w:pPr>
              <w:jc w:val="right"/>
              <w:rPr>
                <w:rFonts w:ascii="Verdana" w:hAnsi="Verdana" w:cs="Arial"/>
                <w:b/>
                <w:bCs/>
                <w:sz w:val="18"/>
                <w:szCs w:val="18"/>
              </w:rPr>
            </w:pPr>
          </w:p>
        </w:tc>
        <w:tc>
          <w:tcPr>
            <w:tcW w:w="845" w:type="dxa"/>
            <w:shd w:val="clear" w:color="auto" w:fill="F2F2F2" w:themeFill="background1" w:themeFillShade="F2"/>
          </w:tcPr>
          <w:p w:rsidR="009453C1" w:rsidRPr="001E5D65" w:rsidRDefault="009453C1" w:rsidP="001E5D65">
            <w:pPr>
              <w:jc w:val="right"/>
              <w:rPr>
                <w:rFonts w:ascii="Verdana" w:hAnsi="Verdana" w:cs="Arial"/>
                <w:b/>
                <w:bCs/>
                <w:sz w:val="18"/>
                <w:szCs w:val="18"/>
              </w:rPr>
            </w:pPr>
          </w:p>
        </w:tc>
      </w:tr>
    </w:tbl>
    <w:bookmarkEnd w:id="3"/>
    <w:bookmarkEnd w:id="4"/>
    <w:p w:rsidR="00865092" w:rsidRPr="00410165" w:rsidRDefault="00865092" w:rsidP="00865092">
      <w:pPr>
        <w:rPr>
          <w:rFonts w:ascii="Verdana" w:hAnsi="Verdana" w:cs="Arial"/>
          <w:b/>
          <w:bCs/>
          <w:i/>
          <w:iCs/>
          <w:sz w:val="16"/>
          <w:szCs w:val="16"/>
        </w:rPr>
      </w:pPr>
      <w:r w:rsidRPr="00410165">
        <w:rPr>
          <w:rFonts w:ascii="Verdana" w:hAnsi="Verdana" w:cs="Arial"/>
          <w:b/>
          <w:bCs/>
          <w:i/>
          <w:iCs/>
          <w:sz w:val="16"/>
          <w:szCs w:val="16"/>
        </w:rPr>
        <w:t>Fonte: Unioncamere Lombardia</w:t>
      </w:r>
    </w:p>
    <w:p w:rsidR="00865092" w:rsidRDefault="00865092"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8A303E" w:rsidRDefault="008A303E" w:rsidP="00A87495">
      <w:pPr>
        <w:spacing w:line="360" w:lineRule="auto"/>
        <w:ind w:left="567" w:right="567"/>
        <w:rPr>
          <w:rFonts w:ascii="Verdana" w:hAnsi="Verdana"/>
          <w:b/>
          <w:sz w:val="24"/>
          <w:szCs w:val="24"/>
        </w:rPr>
      </w:pPr>
    </w:p>
    <w:p w:rsidR="00190B35" w:rsidRDefault="00190B35" w:rsidP="00A87495">
      <w:pPr>
        <w:spacing w:line="360" w:lineRule="auto"/>
        <w:ind w:left="567" w:right="567"/>
        <w:rPr>
          <w:rFonts w:ascii="Verdana" w:hAnsi="Verdana"/>
          <w:b/>
          <w:sz w:val="24"/>
          <w:szCs w:val="24"/>
        </w:rPr>
      </w:pPr>
    </w:p>
    <w:p w:rsidR="00A87495" w:rsidRPr="00E25434" w:rsidRDefault="00A87495" w:rsidP="00A87495">
      <w:pPr>
        <w:spacing w:line="360" w:lineRule="auto"/>
        <w:ind w:left="567" w:right="567"/>
        <w:rPr>
          <w:rFonts w:ascii="Verdana" w:hAnsi="Verdana"/>
          <w:b/>
          <w:sz w:val="24"/>
          <w:szCs w:val="24"/>
        </w:rPr>
      </w:pPr>
      <w:r w:rsidRPr="00E25434">
        <w:rPr>
          <w:rFonts w:ascii="Verdana" w:hAnsi="Verdana"/>
          <w:b/>
          <w:sz w:val="24"/>
          <w:szCs w:val="24"/>
        </w:rPr>
        <w:t>Commento:</w:t>
      </w:r>
    </w:p>
    <w:p w:rsidR="00216ABB" w:rsidRPr="004F5D65" w:rsidRDefault="00216ABB" w:rsidP="00216ABB">
      <w:pPr>
        <w:spacing w:line="360" w:lineRule="auto"/>
        <w:ind w:right="-54"/>
        <w:jc w:val="both"/>
        <w:rPr>
          <w:rFonts w:ascii="Verdana" w:hAnsi="Verdana"/>
          <w:sz w:val="22"/>
          <w:szCs w:val="22"/>
        </w:rPr>
      </w:pPr>
      <w:r w:rsidRPr="004F5D65">
        <w:rPr>
          <w:rFonts w:ascii="Verdana" w:hAnsi="Verdana"/>
          <w:sz w:val="22"/>
          <w:szCs w:val="22"/>
        </w:rPr>
        <w:t xml:space="preserve">I risultati del </w:t>
      </w:r>
      <w:r w:rsidR="004F5D65" w:rsidRPr="004F5D65">
        <w:rPr>
          <w:rFonts w:ascii="Verdana" w:hAnsi="Verdana"/>
          <w:sz w:val="22"/>
          <w:szCs w:val="22"/>
        </w:rPr>
        <w:t>secondo</w:t>
      </w:r>
      <w:r w:rsidRPr="004F5D65">
        <w:rPr>
          <w:rFonts w:ascii="Verdana" w:hAnsi="Verdana"/>
          <w:sz w:val="22"/>
          <w:szCs w:val="22"/>
        </w:rPr>
        <w:t xml:space="preserve"> trimestre 2019 confermano il progressivo deterioramento del quadro congiunturale evidenzia</w:t>
      </w:r>
      <w:r w:rsidR="004F5D65" w:rsidRPr="004F5D65">
        <w:rPr>
          <w:rFonts w:ascii="Verdana" w:hAnsi="Verdana"/>
          <w:sz w:val="22"/>
          <w:szCs w:val="22"/>
        </w:rPr>
        <w:t>to dalla svolta negativa del</w:t>
      </w:r>
      <w:r w:rsidR="00D055AD">
        <w:rPr>
          <w:rFonts w:ascii="Verdana" w:hAnsi="Verdana"/>
          <w:sz w:val="22"/>
          <w:szCs w:val="22"/>
        </w:rPr>
        <w:t xml:space="preserve">la variazione tendenziale </w:t>
      </w:r>
      <w:r w:rsidRPr="004F5D65">
        <w:rPr>
          <w:rFonts w:ascii="Verdana" w:hAnsi="Verdana"/>
          <w:sz w:val="22"/>
          <w:szCs w:val="22"/>
        </w:rPr>
        <w:t>dell</w:t>
      </w:r>
      <w:r w:rsidR="004F5D65" w:rsidRPr="004F5D65">
        <w:rPr>
          <w:rFonts w:ascii="Verdana" w:hAnsi="Verdana"/>
          <w:sz w:val="22"/>
          <w:szCs w:val="22"/>
        </w:rPr>
        <w:t>a</w:t>
      </w:r>
      <w:r w:rsidRPr="004F5D65">
        <w:rPr>
          <w:rFonts w:ascii="Verdana" w:hAnsi="Verdana"/>
          <w:sz w:val="22"/>
          <w:szCs w:val="22"/>
        </w:rPr>
        <w:t xml:space="preserve"> </w:t>
      </w:r>
      <w:r w:rsidR="004F5D65" w:rsidRPr="004F5D65">
        <w:rPr>
          <w:rFonts w:ascii="Verdana" w:hAnsi="Verdana"/>
          <w:sz w:val="22"/>
          <w:szCs w:val="22"/>
        </w:rPr>
        <w:t>produzione (-0,9%). Il tasso di utilizzo degli impianti rimane così fermo al 76%,</w:t>
      </w:r>
      <w:r w:rsidR="00190B35">
        <w:rPr>
          <w:rFonts w:ascii="Verdana" w:hAnsi="Verdana"/>
          <w:sz w:val="22"/>
          <w:szCs w:val="22"/>
        </w:rPr>
        <w:t xml:space="preserve"> anch’esso</w:t>
      </w:r>
      <w:r w:rsidR="004F5D65" w:rsidRPr="004F5D65">
        <w:rPr>
          <w:rFonts w:ascii="Verdana" w:hAnsi="Verdana"/>
          <w:sz w:val="22"/>
          <w:szCs w:val="22"/>
        </w:rPr>
        <w:t xml:space="preserve"> in leggero calo rispetto al trimestre scorso.</w:t>
      </w:r>
    </w:p>
    <w:p w:rsidR="004F5D65" w:rsidRPr="004F5D65" w:rsidRDefault="00FF388E" w:rsidP="00216ABB">
      <w:pPr>
        <w:spacing w:line="360" w:lineRule="auto"/>
        <w:ind w:right="-54"/>
        <w:jc w:val="both"/>
        <w:rPr>
          <w:rFonts w:ascii="Verdana" w:hAnsi="Verdana"/>
          <w:sz w:val="22"/>
          <w:szCs w:val="22"/>
        </w:rPr>
      </w:pPr>
      <w:r w:rsidRPr="004F5D65">
        <w:rPr>
          <w:rFonts w:ascii="Verdana" w:hAnsi="Verdana"/>
          <w:sz w:val="22"/>
          <w:szCs w:val="22"/>
        </w:rPr>
        <w:t xml:space="preserve">Gli ordini esteri </w:t>
      </w:r>
      <w:r w:rsidR="00D055AD">
        <w:rPr>
          <w:rFonts w:ascii="Verdana" w:hAnsi="Verdana"/>
          <w:sz w:val="22"/>
          <w:szCs w:val="22"/>
        </w:rPr>
        <w:t>sono ancora</w:t>
      </w:r>
      <w:r w:rsidR="004F5D65" w:rsidRPr="004F5D65">
        <w:rPr>
          <w:rFonts w:ascii="Verdana" w:hAnsi="Verdana"/>
          <w:sz w:val="22"/>
          <w:szCs w:val="22"/>
        </w:rPr>
        <w:t xml:space="preserve"> positivi, ma il tasso di crescita è ormai prossimo allo zero (+0,3%)</w:t>
      </w:r>
      <w:r w:rsidR="00D055AD">
        <w:rPr>
          <w:rFonts w:ascii="Verdana" w:hAnsi="Verdana"/>
          <w:sz w:val="22"/>
          <w:szCs w:val="22"/>
        </w:rPr>
        <w:t>,</w:t>
      </w:r>
      <w:r w:rsidR="004F5D65" w:rsidRPr="004F5D65">
        <w:rPr>
          <w:rFonts w:ascii="Verdana" w:hAnsi="Verdana"/>
          <w:sz w:val="22"/>
          <w:szCs w:val="22"/>
        </w:rPr>
        <w:t xml:space="preserve"> evidenziando come la causa dello stop della produzione non sia </w:t>
      </w:r>
      <w:r w:rsidR="00660902">
        <w:rPr>
          <w:rFonts w:ascii="Verdana" w:hAnsi="Verdana"/>
          <w:sz w:val="22"/>
          <w:szCs w:val="22"/>
        </w:rPr>
        <w:t xml:space="preserve">più </w:t>
      </w:r>
      <w:r w:rsidR="004F5D65" w:rsidRPr="004F5D65">
        <w:rPr>
          <w:rFonts w:ascii="Verdana" w:hAnsi="Verdana"/>
          <w:sz w:val="22"/>
          <w:szCs w:val="22"/>
        </w:rPr>
        <w:t>da ricercare solo all’interno</w:t>
      </w:r>
      <w:r w:rsidR="00190B35">
        <w:rPr>
          <w:rFonts w:ascii="Verdana" w:hAnsi="Verdana"/>
          <w:sz w:val="22"/>
          <w:szCs w:val="22"/>
        </w:rPr>
        <w:t xml:space="preserve"> del paese</w:t>
      </w:r>
      <w:r w:rsidR="00E65F6B">
        <w:rPr>
          <w:rFonts w:ascii="Verdana" w:hAnsi="Verdana"/>
          <w:sz w:val="22"/>
          <w:szCs w:val="22"/>
        </w:rPr>
        <w:t xml:space="preserve"> ma dipende anche da cause esterne</w:t>
      </w:r>
      <w:r w:rsidR="004F5D65" w:rsidRPr="004F5D65">
        <w:rPr>
          <w:rFonts w:ascii="Verdana" w:hAnsi="Verdana"/>
          <w:sz w:val="22"/>
          <w:szCs w:val="22"/>
        </w:rPr>
        <w:t>. G</w:t>
      </w:r>
      <w:r w:rsidRPr="004F5D65">
        <w:rPr>
          <w:rFonts w:ascii="Verdana" w:hAnsi="Verdana"/>
          <w:sz w:val="22"/>
          <w:szCs w:val="22"/>
        </w:rPr>
        <w:t xml:space="preserve">li ordini interni </w:t>
      </w:r>
      <w:r w:rsidR="004F5D65" w:rsidRPr="004F5D65">
        <w:rPr>
          <w:rFonts w:ascii="Verdana" w:hAnsi="Verdana"/>
          <w:sz w:val="22"/>
          <w:szCs w:val="22"/>
        </w:rPr>
        <w:t>confermano il segno negativo (-0,1</w:t>
      </w:r>
      <w:r w:rsidRPr="004F5D65">
        <w:rPr>
          <w:rFonts w:ascii="Verdana" w:hAnsi="Verdana"/>
          <w:sz w:val="22"/>
          <w:szCs w:val="22"/>
        </w:rPr>
        <w:t>%)</w:t>
      </w:r>
      <w:r w:rsidR="00E65F6B">
        <w:rPr>
          <w:rFonts w:ascii="Verdana" w:hAnsi="Verdana"/>
          <w:sz w:val="22"/>
          <w:szCs w:val="22"/>
        </w:rPr>
        <w:t>,</w:t>
      </w:r>
      <w:r w:rsidR="004F5D65" w:rsidRPr="004F5D65">
        <w:rPr>
          <w:rFonts w:ascii="Verdana" w:hAnsi="Verdana"/>
          <w:sz w:val="22"/>
          <w:szCs w:val="22"/>
        </w:rPr>
        <w:t xml:space="preserve"> anche se meno intenso rispetto allo scorso trimestre</w:t>
      </w:r>
      <w:r w:rsidRPr="004F5D65">
        <w:rPr>
          <w:rFonts w:ascii="Verdana" w:hAnsi="Verdana"/>
          <w:sz w:val="22"/>
          <w:szCs w:val="22"/>
        </w:rPr>
        <w:t>.</w:t>
      </w:r>
    </w:p>
    <w:p w:rsidR="00FF388E" w:rsidRPr="003E1813" w:rsidRDefault="00FF388E" w:rsidP="00216ABB">
      <w:pPr>
        <w:spacing w:line="360" w:lineRule="auto"/>
        <w:ind w:right="-54"/>
        <w:jc w:val="both"/>
        <w:rPr>
          <w:rFonts w:ascii="Verdana" w:hAnsi="Verdana"/>
          <w:sz w:val="22"/>
          <w:szCs w:val="22"/>
        </w:rPr>
      </w:pPr>
      <w:r w:rsidRPr="004F5D65">
        <w:rPr>
          <w:rFonts w:ascii="Verdana" w:hAnsi="Verdana"/>
          <w:sz w:val="22"/>
          <w:szCs w:val="22"/>
        </w:rPr>
        <w:t>Il fatturato cresce dell’1,</w:t>
      </w:r>
      <w:r w:rsidR="004F5D65" w:rsidRPr="004F5D65">
        <w:rPr>
          <w:rFonts w:ascii="Verdana" w:hAnsi="Verdana"/>
          <w:sz w:val="22"/>
          <w:szCs w:val="22"/>
        </w:rPr>
        <w:t xml:space="preserve">8%, stabilizzandosi poco sopra il risultato dello scorso </w:t>
      </w:r>
      <w:r w:rsidR="004F5D65" w:rsidRPr="003E1813">
        <w:rPr>
          <w:rFonts w:ascii="Verdana" w:hAnsi="Verdana"/>
          <w:sz w:val="22"/>
          <w:szCs w:val="22"/>
        </w:rPr>
        <w:t>trimestre</w:t>
      </w:r>
      <w:r w:rsidR="00660902">
        <w:rPr>
          <w:rFonts w:ascii="Verdana" w:hAnsi="Verdana"/>
          <w:sz w:val="22"/>
          <w:szCs w:val="22"/>
        </w:rPr>
        <w:t>,</w:t>
      </w:r>
      <w:r w:rsidR="004F5D65" w:rsidRPr="003E1813">
        <w:rPr>
          <w:rFonts w:ascii="Verdana" w:hAnsi="Verdana"/>
          <w:sz w:val="22"/>
          <w:szCs w:val="22"/>
        </w:rPr>
        <w:t xml:space="preserve"> già molto ridimensionato rispetto ai risultati </w:t>
      </w:r>
      <w:r w:rsidR="00190B35">
        <w:rPr>
          <w:rFonts w:ascii="Verdana" w:hAnsi="Verdana"/>
          <w:sz w:val="22"/>
          <w:szCs w:val="22"/>
        </w:rPr>
        <w:t>del 2018</w:t>
      </w:r>
      <w:r w:rsidR="004F5D65" w:rsidRPr="003E1813">
        <w:rPr>
          <w:rFonts w:ascii="Verdana" w:hAnsi="Verdana"/>
          <w:sz w:val="22"/>
          <w:szCs w:val="22"/>
        </w:rPr>
        <w:t>.</w:t>
      </w:r>
    </w:p>
    <w:p w:rsidR="00FF388E" w:rsidRDefault="00FF388E" w:rsidP="00216ABB">
      <w:pPr>
        <w:spacing w:line="360" w:lineRule="auto"/>
        <w:ind w:right="-54"/>
        <w:jc w:val="both"/>
        <w:rPr>
          <w:rFonts w:ascii="Verdana" w:hAnsi="Verdana"/>
          <w:sz w:val="22"/>
          <w:szCs w:val="22"/>
        </w:rPr>
      </w:pPr>
      <w:r w:rsidRPr="003E1813">
        <w:rPr>
          <w:rFonts w:ascii="Verdana" w:hAnsi="Verdana"/>
          <w:sz w:val="22"/>
          <w:szCs w:val="22"/>
        </w:rPr>
        <w:t>Le giacenze di magazzino sono giudicate esuberanti, per quanto riguarda i materiali per la produzione. Si avvicinano al saldo nullo per quanto riguarda i prodotti finiti, segno che ci sono pochi margini di recupero per la produzione considerato che le imprese non dovranno ricostituire le scorte.</w:t>
      </w:r>
    </w:p>
    <w:p w:rsidR="00796D12" w:rsidRPr="00EB60DF" w:rsidRDefault="008E49C6" w:rsidP="00216ABB">
      <w:pPr>
        <w:spacing w:line="360" w:lineRule="auto"/>
        <w:ind w:right="-54"/>
        <w:jc w:val="both"/>
      </w:pPr>
      <w:r w:rsidRPr="00F109C6">
        <w:rPr>
          <w:rFonts w:ascii="Verdana" w:hAnsi="Verdana"/>
          <w:sz w:val="22"/>
          <w:szCs w:val="22"/>
        </w:rPr>
        <w:br w:type="page"/>
      </w:r>
      <w:bookmarkStart w:id="5" w:name="_Toc188872002"/>
      <w:bookmarkStart w:id="6" w:name="_Toc519784535"/>
      <w:bookmarkStart w:id="7" w:name="_Toc139967542"/>
      <w:r w:rsidR="00932D24" w:rsidRPr="00DA523D">
        <w:rPr>
          <w:rStyle w:val="Titolo1Carattere"/>
        </w:rPr>
        <w:lastRenderedPageBreak/>
        <w:t xml:space="preserve">Tabella </w:t>
      </w:r>
      <w:r w:rsidR="00651D3B" w:rsidRPr="00DA523D">
        <w:rPr>
          <w:rStyle w:val="Titolo1Carattere"/>
        </w:rPr>
        <w:fldChar w:fldCharType="begin"/>
      </w:r>
      <w:r w:rsidR="00651D3B" w:rsidRPr="00DA523D">
        <w:rPr>
          <w:rStyle w:val="Titolo1Carattere"/>
        </w:rPr>
        <w:instrText xml:space="preserve"> SEQ Tabella \* ARABIC </w:instrText>
      </w:r>
      <w:r w:rsidR="00651D3B" w:rsidRPr="00DA523D">
        <w:rPr>
          <w:rStyle w:val="Titolo1Carattere"/>
        </w:rPr>
        <w:fldChar w:fldCharType="separate"/>
      </w:r>
      <w:r w:rsidR="004F5D65">
        <w:rPr>
          <w:rStyle w:val="Titolo1Carattere"/>
          <w:noProof/>
        </w:rPr>
        <w:t>2</w:t>
      </w:r>
      <w:r w:rsidR="00651D3B" w:rsidRPr="00DA523D">
        <w:rPr>
          <w:rStyle w:val="Titolo1Carattere"/>
        </w:rPr>
        <w:fldChar w:fldCharType="end"/>
      </w:r>
      <w:r w:rsidR="005504FA" w:rsidRPr="00DA523D">
        <w:rPr>
          <w:rStyle w:val="Titolo1Carattere"/>
        </w:rPr>
        <w:t xml:space="preserve">: </w:t>
      </w:r>
      <w:r w:rsidR="00796D12" w:rsidRPr="00DA523D">
        <w:rPr>
          <w:rStyle w:val="Titolo1Carattere"/>
        </w:rPr>
        <w:t xml:space="preserve">Variazioni </w:t>
      </w:r>
      <w:proofErr w:type="gramStart"/>
      <w:r w:rsidR="00796D12" w:rsidRPr="00DA523D">
        <w:rPr>
          <w:rStyle w:val="Titolo1Carattere"/>
        </w:rPr>
        <w:t>congiunturali</w:t>
      </w:r>
      <w:r w:rsidR="000337E2" w:rsidRPr="00DA523D">
        <w:rPr>
          <w:b/>
          <w:sz w:val="32"/>
          <w:szCs w:val="32"/>
          <w:vertAlign w:val="superscript"/>
        </w:rPr>
        <w:t>(</w:t>
      </w:r>
      <w:proofErr w:type="gramEnd"/>
      <w:r w:rsidR="000337E2" w:rsidRPr="00DA523D">
        <w:rPr>
          <w:b/>
          <w:sz w:val="32"/>
          <w:szCs w:val="32"/>
          <w:vertAlign w:val="superscript"/>
        </w:rPr>
        <w:t>1)</w:t>
      </w:r>
      <w:r w:rsidR="000337E2" w:rsidRPr="00DA523D">
        <w:rPr>
          <w:rStyle w:val="Titolo1Carattere"/>
        </w:rPr>
        <w:t xml:space="preserve"> </w:t>
      </w:r>
      <w:r w:rsidR="005962CA" w:rsidRPr="00DA523D">
        <w:rPr>
          <w:rStyle w:val="Titolo1Carattere"/>
        </w:rPr>
        <w:t>delle principali variabili</w:t>
      </w:r>
      <w:bookmarkEnd w:id="5"/>
      <w:bookmarkEnd w:id="6"/>
    </w:p>
    <w:tbl>
      <w:tblPr>
        <w:tblW w:w="9298" w:type="dxa"/>
        <w:tblBorders>
          <w:insideH w:val="single" w:sz="18" w:space="0" w:color="FFFFFF"/>
          <w:insideV w:val="single" w:sz="18" w:space="0" w:color="FFFFFF"/>
        </w:tblBorders>
        <w:tblLook w:val="04A0" w:firstRow="1" w:lastRow="0" w:firstColumn="1" w:lastColumn="0" w:noHBand="0" w:noVBand="1"/>
      </w:tblPr>
      <w:tblGrid>
        <w:gridCol w:w="3628"/>
        <w:gridCol w:w="1134"/>
        <w:gridCol w:w="1134"/>
        <w:gridCol w:w="1134"/>
        <w:gridCol w:w="1134"/>
        <w:gridCol w:w="1134"/>
      </w:tblGrid>
      <w:tr w:rsidR="00D33FCF" w:rsidRPr="007C32AC" w:rsidTr="000D7D31">
        <w:trPr>
          <w:trHeight w:val="349"/>
        </w:trPr>
        <w:tc>
          <w:tcPr>
            <w:tcW w:w="3628" w:type="dxa"/>
            <w:shd w:val="pct20" w:color="000000" w:fill="FFFFFF"/>
            <w:vAlign w:val="center"/>
            <w:hideMark/>
          </w:tcPr>
          <w:bookmarkEnd w:id="7"/>
          <w:p w:rsidR="00D33FCF" w:rsidRPr="007C32AC" w:rsidRDefault="00D33FCF" w:rsidP="002F4770">
            <w:pPr>
              <w:jc w:val="center"/>
              <w:rPr>
                <w:rFonts w:ascii="Verdana" w:hAnsi="Verdana" w:cs="Arial"/>
                <w:b/>
                <w:bCs/>
                <w:sz w:val="18"/>
                <w:szCs w:val="18"/>
              </w:rPr>
            </w:pPr>
            <w:r w:rsidRPr="007C32AC">
              <w:rPr>
                <w:rFonts w:ascii="Verdana" w:hAnsi="Verdana" w:cs="Arial"/>
                <w:b/>
                <w:bCs/>
                <w:sz w:val="18"/>
                <w:szCs w:val="18"/>
              </w:rPr>
              <w:t>Anni</w:t>
            </w:r>
          </w:p>
        </w:tc>
        <w:tc>
          <w:tcPr>
            <w:tcW w:w="3402" w:type="dxa"/>
            <w:gridSpan w:val="3"/>
            <w:shd w:val="pct20" w:color="000000" w:fill="FFFFFF"/>
            <w:vAlign w:val="center"/>
          </w:tcPr>
          <w:p w:rsidR="00D33FCF" w:rsidRDefault="00D33FCF" w:rsidP="004714CB">
            <w:pPr>
              <w:jc w:val="center"/>
              <w:rPr>
                <w:rFonts w:ascii="Verdana" w:hAnsi="Verdana" w:cs="Arial"/>
                <w:b/>
                <w:bCs/>
                <w:sz w:val="18"/>
                <w:szCs w:val="18"/>
              </w:rPr>
            </w:pPr>
            <w:r>
              <w:rPr>
                <w:rFonts w:ascii="Verdana" w:hAnsi="Verdana" w:cs="Arial"/>
                <w:b/>
                <w:bCs/>
                <w:sz w:val="18"/>
                <w:szCs w:val="18"/>
              </w:rPr>
              <w:t>2018</w:t>
            </w:r>
          </w:p>
        </w:tc>
        <w:tc>
          <w:tcPr>
            <w:tcW w:w="2268" w:type="dxa"/>
            <w:gridSpan w:val="2"/>
            <w:shd w:val="pct20" w:color="000000" w:fill="FFFFFF"/>
            <w:vAlign w:val="center"/>
          </w:tcPr>
          <w:p w:rsidR="00D33FCF" w:rsidRDefault="00D33FCF" w:rsidP="00436169">
            <w:pPr>
              <w:jc w:val="center"/>
              <w:rPr>
                <w:rFonts w:ascii="Verdana" w:hAnsi="Verdana" w:cs="Arial"/>
                <w:b/>
                <w:bCs/>
                <w:sz w:val="18"/>
                <w:szCs w:val="18"/>
              </w:rPr>
            </w:pPr>
            <w:r>
              <w:rPr>
                <w:rFonts w:ascii="Verdana" w:hAnsi="Verdana" w:cs="Arial"/>
                <w:b/>
                <w:bCs/>
                <w:sz w:val="18"/>
                <w:szCs w:val="18"/>
              </w:rPr>
              <w:t>2019</w:t>
            </w:r>
          </w:p>
        </w:tc>
      </w:tr>
      <w:tr w:rsidR="00D33FCF" w:rsidRPr="007C32AC" w:rsidTr="00D33FCF">
        <w:trPr>
          <w:trHeight w:val="380"/>
        </w:trPr>
        <w:tc>
          <w:tcPr>
            <w:tcW w:w="3628" w:type="dxa"/>
            <w:shd w:val="pct20" w:color="000000" w:fill="FFFFFF"/>
            <w:vAlign w:val="center"/>
            <w:hideMark/>
          </w:tcPr>
          <w:p w:rsidR="00D33FCF" w:rsidRPr="007C32AC" w:rsidRDefault="00D33FCF" w:rsidP="002F4770">
            <w:pPr>
              <w:jc w:val="center"/>
              <w:rPr>
                <w:rFonts w:ascii="Verdana" w:hAnsi="Verdana" w:cs="Arial"/>
                <w:b/>
                <w:bCs/>
                <w:sz w:val="18"/>
                <w:szCs w:val="18"/>
              </w:rPr>
            </w:pPr>
            <w:r w:rsidRPr="007C32AC">
              <w:rPr>
                <w:rFonts w:ascii="Verdana" w:hAnsi="Verdana" w:cs="Arial"/>
                <w:b/>
                <w:bCs/>
                <w:sz w:val="18"/>
                <w:szCs w:val="18"/>
              </w:rPr>
              <w:t>Trimestri</w:t>
            </w:r>
          </w:p>
        </w:tc>
        <w:tc>
          <w:tcPr>
            <w:tcW w:w="1134" w:type="dxa"/>
            <w:shd w:val="pct20" w:color="000000" w:fill="FFFFFF"/>
            <w:vAlign w:val="center"/>
          </w:tcPr>
          <w:p w:rsidR="00D33FCF" w:rsidRDefault="00D33FCF" w:rsidP="004714CB">
            <w:pPr>
              <w:jc w:val="center"/>
              <w:rPr>
                <w:rFonts w:ascii="Verdana" w:hAnsi="Verdana" w:cs="Arial"/>
                <w:b/>
                <w:bCs/>
                <w:sz w:val="18"/>
                <w:szCs w:val="18"/>
              </w:rPr>
            </w:pPr>
            <w:r>
              <w:rPr>
                <w:rFonts w:ascii="Verdana" w:hAnsi="Verdana" w:cs="Arial"/>
                <w:b/>
                <w:bCs/>
                <w:sz w:val="18"/>
                <w:szCs w:val="18"/>
              </w:rPr>
              <w:t>2</w:t>
            </w:r>
          </w:p>
        </w:tc>
        <w:tc>
          <w:tcPr>
            <w:tcW w:w="1134" w:type="dxa"/>
            <w:shd w:val="pct20" w:color="000000" w:fill="FFFFFF"/>
            <w:vAlign w:val="center"/>
          </w:tcPr>
          <w:p w:rsidR="00D33FCF" w:rsidRDefault="00D33FCF" w:rsidP="00D57DB7">
            <w:pPr>
              <w:jc w:val="center"/>
              <w:rPr>
                <w:rFonts w:ascii="Verdana" w:hAnsi="Verdana" w:cs="Arial"/>
                <w:b/>
                <w:bCs/>
                <w:sz w:val="18"/>
                <w:szCs w:val="18"/>
              </w:rPr>
            </w:pPr>
            <w:r>
              <w:rPr>
                <w:rFonts w:ascii="Verdana" w:hAnsi="Verdana" w:cs="Arial"/>
                <w:b/>
                <w:bCs/>
                <w:sz w:val="18"/>
                <w:szCs w:val="18"/>
              </w:rPr>
              <w:t>3</w:t>
            </w:r>
          </w:p>
        </w:tc>
        <w:tc>
          <w:tcPr>
            <w:tcW w:w="1134" w:type="dxa"/>
            <w:shd w:val="pct20" w:color="000000" w:fill="FFFFFF"/>
            <w:vAlign w:val="center"/>
          </w:tcPr>
          <w:p w:rsidR="00D33FCF" w:rsidRDefault="00D33FCF" w:rsidP="001729D9">
            <w:pPr>
              <w:jc w:val="center"/>
              <w:rPr>
                <w:rFonts w:ascii="Verdana" w:hAnsi="Verdana" w:cs="Arial"/>
                <w:b/>
                <w:bCs/>
                <w:sz w:val="18"/>
                <w:szCs w:val="18"/>
              </w:rPr>
            </w:pPr>
            <w:r>
              <w:rPr>
                <w:rFonts w:ascii="Verdana" w:hAnsi="Verdana" w:cs="Arial"/>
                <w:b/>
                <w:bCs/>
                <w:sz w:val="18"/>
                <w:szCs w:val="18"/>
              </w:rPr>
              <w:t>4</w:t>
            </w:r>
          </w:p>
        </w:tc>
        <w:tc>
          <w:tcPr>
            <w:tcW w:w="1134" w:type="dxa"/>
            <w:shd w:val="pct20" w:color="000000" w:fill="FFFFFF"/>
            <w:vAlign w:val="center"/>
          </w:tcPr>
          <w:p w:rsidR="00D33FCF" w:rsidRDefault="00D33FCF" w:rsidP="00436169">
            <w:pPr>
              <w:jc w:val="center"/>
              <w:rPr>
                <w:rFonts w:ascii="Verdana" w:hAnsi="Verdana" w:cs="Arial"/>
                <w:b/>
                <w:bCs/>
                <w:sz w:val="18"/>
                <w:szCs w:val="18"/>
              </w:rPr>
            </w:pPr>
            <w:r>
              <w:rPr>
                <w:rFonts w:ascii="Verdana" w:hAnsi="Verdana" w:cs="Arial"/>
                <w:b/>
                <w:bCs/>
                <w:sz w:val="18"/>
                <w:szCs w:val="18"/>
              </w:rPr>
              <w:t>1</w:t>
            </w:r>
          </w:p>
        </w:tc>
        <w:tc>
          <w:tcPr>
            <w:tcW w:w="1134" w:type="dxa"/>
            <w:shd w:val="pct20" w:color="000000" w:fill="FFFFFF"/>
            <w:vAlign w:val="center"/>
          </w:tcPr>
          <w:p w:rsidR="00D33FCF" w:rsidRDefault="00D33FCF" w:rsidP="00C44AE1">
            <w:pPr>
              <w:jc w:val="center"/>
              <w:rPr>
                <w:rFonts w:ascii="Verdana" w:hAnsi="Verdana" w:cs="Arial"/>
                <w:b/>
                <w:bCs/>
                <w:sz w:val="18"/>
                <w:szCs w:val="18"/>
              </w:rPr>
            </w:pPr>
            <w:r>
              <w:rPr>
                <w:rFonts w:ascii="Verdana" w:hAnsi="Verdana" w:cs="Arial"/>
                <w:b/>
                <w:bCs/>
                <w:sz w:val="18"/>
                <w:szCs w:val="18"/>
              </w:rPr>
              <w:t>2</w:t>
            </w:r>
          </w:p>
        </w:tc>
      </w:tr>
      <w:tr w:rsidR="00AB540C" w:rsidRPr="007C32AC" w:rsidTr="00D33FCF">
        <w:trPr>
          <w:trHeight w:val="283"/>
        </w:trPr>
        <w:tc>
          <w:tcPr>
            <w:tcW w:w="3628" w:type="dxa"/>
            <w:shd w:val="pct5"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0,5</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-0,5</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0,9</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0,0</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-1,2</w:t>
            </w:r>
          </w:p>
        </w:tc>
      </w:tr>
      <w:tr w:rsidR="00AB540C" w:rsidRPr="007C32AC" w:rsidTr="000D7D31">
        <w:trPr>
          <w:trHeight w:val="283"/>
        </w:trPr>
        <w:tc>
          <w:tcPr>
            <w:tcW w:w="3628" w:type="dxa"/>
            <w:shd w:val="pct20"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-0,4</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0,1</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1,1</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-1,3</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0,4</w:t>
            </w:r>
          </w:p>
        </w:tc>
      </w:tr>
      <w:tr w:rsidR="00AB540C" w:rsidRPr="007C32AC" w:rsidTr="000D7D31">
        <w:trPr>
          <w:trHeight w:val="283"/>
        </w:trPr>
        <w:tc>
          <w:tcPr>
            <w:tcW w:w="3628" w:type="dxa"/>
            <w:shd w:val="pct5"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0,1</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1,8</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0,0</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-0,9</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-0,5</w:t>
            </w:r>
          </w:p>
        </w:tc>
      </w:tr>
      <w:tr w:rsidR="00AB540C" w:rsidRPr="007C32AC" w:rsidTr="000D7D31">
        <w:trPr>
          <w:trHeight w:val="283"/>
        </w:trPr>
        <w:tc>
          <w:tcPr>
            <w:tcW w:w="3628" w:type="dxa"/>
            <w:shd w:val="pct20"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1,2</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0,2</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0,9</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-0,3</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1,0</w:t>
            </w:r>
          </w:p>
        </w:tc>
      </w:tr>
      <w:tr w:rsidR="00AB540C" w:rsidRPr="007C32AC" w:rsidTr="000D7D31">
        <w:trPr>
          <w:trHeight w:val="283"/>
        </w:trPr>
        <w:tc>
          <w:tcPr>
            <w:tcW w:w="3628" w:type="dxa"/>
            <w:shd w:val="pct5"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39,7</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40,7</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40,2</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38,9</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38,7</w:t>
            </w:r>
          </w:p>
        </w:tc>
      </w:tr>
      <w:tr w:rsidR="00AB540C" w:rsidRPr="007C32AC" w:rsidTr="000D7D31">
        <w:trPr>
          <w:trHeight w:val="283"/>
        </w:trPr>
        <w:tc>
          <w:tcPr>
            <w:tcW w:w="3628" w:type="dxa"/>
            <w:shd w:val="pct20"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1,8</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1,4</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0,9</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1,0</w:t>
            </w:r>
          </w:p>
        </w:tc>
        <w:tc>
          <w:tcPr>
            <w:tcW w:w="1134" w:type="dxa"/>
            <w:shd w:val="pct20" w:color="000000" w:fill="FFFFFF"/>
          </w:tcPr>
          <w:p w:rsidR="00AB540C" w:rsidRDefault="00AB540C" w:rsidP="00AB540C">
            <w:pPr>
              <w:jc w:val="right"/>
              <w:rPr>
                <w:rFonts w:ascii="Verdana" w:hAnsi="Verdana" w:cs="Arial"/>
                <w:sz w:val="18"/>
                <w:szCs w:val="18"/>
              </w:rPr>
            </w:pPr>
            <w:r>
              <w:rPr>
                <w:rFonts w:ascii="Verdana" w:hAnsi="Verdana" w:cs="Arial"/>
                <w:sz w:val="18"/>
                <w:szCs w:val="18"/>
              </w:rPr>
              <w:t>0,8</w:t>
            </w:r>
          </w:p>
        </w:tc>
      </w:tr>
      <w:tr w:rsidR="00AB540C" w:rsidRPr="007C32AC" w:rsidTr="000D7D31">
        <w:trPr>
          <w:trHeight w:val="283"/>
        </w:trPr>
        <w:tc>
          <w:tcPr>
            <w:tcW w:w="3628" w:type="dxa"/>
            <w:shd w:val="pct5" w:color="000000" w:fill="FFFFFF"/>
            <w:vAlign w:val="center"/>
            <w:hideMark/>
          </w:tcPr>
          <w:p w:rsidR="00AB540C" w:rsidRPr="00B5255D" w:rsidRDefault="00AB540C" w:rsidP="00AB540C">
            <w:pPr>
              <w:rPr>
                <w:rFonts w:ascii="Verdana" w:hAnsi="Verdana" w:cs="Arial"/>
                <w:sz w:val="18"/>
                <w:szCs w:val="18"/>
              </w:rPr>
            </w:pPr>
            <w:r w:rsidRPr="00B5255D">
              <w:rPr>
                <w:rFonts w:ascii="Verdana" w:hAnsi="Verdana" w:cs="Arial"/>
                <w:sz w:val="18"/>
                <w:szCs w:val="18"/>
              </w:rPr>
              <w:t>Prezzi prodotti finiti</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0,9</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0,8</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0,5</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0,6</w:t>
            </w:r>
          </w:p>
        </w:tc>
        <w:tc>
          <w:tcPr>
            <w:tcW w:w="1134" w:type="dxa"/>
            <w:shd w:val="pct5" w:color="000000" w:fill="FFFFFF"/>
          </w:tcPr>
          <w:p w:rsidR="00AB540C" w:rsidRDefault="00AB540C" w:rsidP="00AB540C">
            <w:pPr>
              <w:jc w:val="right"/>
              <w:rPr>
                <w:rFonts w:ascii="Verdana" w:hAnsi="Verdana" w:cs="Arial"/>
                <w:sz w:val="18"/>
                <w:szCs w:val="18"/>
              </w:rPr>
            </w:pPr>
            <w:r>
              <w:rPr>
                <w:rFonts w:ascii="Verdana" w:hAnsi="Verdana" w:cs="Arial"/>
                <w:sz w:val="18"/>
                <w:szCs w:val="18"/>
              </w:rPr>
              <w:t>0,6</w:t>
            </w:r>
          </w:p>
        </w:tc>
      </w:tr>
      <w:tr w:rsidR="00D33FCF" w:rsidRPr="007C32AC" w:rsidTr="00D33FCF">
        <w:trPr>
          <w:trHeight w:val="283"/>
        </w:trPr>
        <w:tc>
          <w:tcPr>
            <w:tcW w:w="3628" w:type="dxa"/>
            <w:shd w:val="clear" w:color="auto" w:fill="BFBFBF" w:themeFill="background1" w:themeFillShade="BF"/>
            <w:hideMark/>
          </w:tcPr>
          <w:p w:rsidR="00D33FCF" w:rsidRPr="00B5255D" w:rsidRDefault="00D33FCF" w:rsidP="00AB0FB9">
            <w:pPr>
              <w:jc w:val="both"/>
              <w:rPr>
                <w:rFonts w:ascii="Verdana" w:hAnsi="Verdana" w:cs="Arial"/>
                <w:sz w:val="18"/>
                <w:szCs w:val="18"/>
              </w:rPr>
            </w:pPr>
          </w:p>
        </w:tc>
        <w:tc>
          <w:tcPr>
            <w:tcW w:w="1134" w:type="dxa"/>
            <w:shd w:val="clear" w:color="auto" w:fill="BFBFBF" w:themeFill="background1" w:themeFillShade="BF"/>
          </w:tcPr>
          <w:p w:rsidR="00D33FCF" w:rsidRPr="00B5255D" w:rsidRDefault="00D33FCF" w:rsidP="00901EE7">
            <w:pPr>
              <w:jc w:val="right"/>
              <w:rPr>
                <w:rFonts w:ascii="Verdana" w:hAnsi="Verdana" w:cs="Arial"/>
                <w:sz w:val="18"/>
                <w:szCs w:val="18"/>
              </w:rPr>
            </w:pPr>
          </w:p>
        </w:tc>
        <w:tc>
          <w:tcPr>
            <w:tcW w:w="1134" w:type="dxa"/>
            <w:shd w:val="clear" w:color="auto" w:fill="BFBFBF" w:themeFill="background1" w:themeFillShade="BF"/>
          </w:tcPr>
          <w:p w:rsidR="00D33FCF" w:rsidRPr="00B5255D" w:rsidRDefault="00D33FCF" w:rsidP="00901EE7">
            <w:pPr>
              <w:jc w:val="right"/>
              <w:rPr>
                <w:rFonts w:ascii="Verdana" w:hAnsi="Verdana" w:cs="Arial"/>
                <w:sz w:val="18"/>
                <w:szCs w:val="18"/>
              </w:rPr>
            </w:pPr>
          </w:p>
        </w:tc>
        <w:tc>
          <w:tcPr>
            <w:tcW w:w="1134" w:type="dxa"/>
            <w:shd w:val="clear" w:color="auto" w:fill="BFBFBF" w:themeFill="background1" w:themeFillShade="BF"/>
          </w:tcPr>
          <w:p w:rsidR="00D33FCF" w:rsidRPr="00B5255D" w:rsidRDefault="00D33FCF" w:rsidP="00901EE7">
            <w:pPr>
              <w:jc w:val="right"/>
              <w:rPr>
                <w:rFonts w:ascii="Verdana" w:hAnsi="Verdana" w:cs="Arial"/>
                <w:sz w:val="18"/>
                <w:szCs w:val="18"/>
              </w:rPr>
            </w:pPr>
          </w:p>
        </w:tc>
        <w:tc>
          <w:tcPr>
            <w:tcW w:w="1134" w:type="dxa"/>
            <w:shd w:val="clear" w:color="auto" w:fill="BFBFBF" w:themeFill="background1" w:themeFillShade="BF"/>
          </w:tcPr>
          <w:p w:rsidR="00D33FCF" w:rsidRPr="00B5255D" w:rsidRDefault="00D33FCF" w:rsidP="00901EE7">
            <w:pPr>
              <w:jc w:val="right"/>
              <w:rPr>
                <w:rFonts w:ascii="Verdana" w:hAnsi="Verdana" w:cs="Arial"/>
                <w:sz w:val="18"/>
                <w:szCs w:val="18"/>
              </w:rPr>
            </w:pPr>
          </w:p>
        </w:tc>
        <w:tc>
          <w:tcPr>
            <w:tcW w:w="1134" w:type="dxa"/>
            <w:shd w:val="clear" w:color="auto" w:fill="BFBFBF" w:themeFill="background1" w:themeFillShade="BF"/>
          </w:tcPr>
          <w:p w:rsidR="00D33FCF" w:rsidRPr="00B5255D" w:rsidRDefault="00D33FCF"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4F1B93" w:rsidRDefault="004F1B93"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E92796" w:rsidRDefault="00E92796" w:rsidP="00854DFE">
      <w:pPr>
        <w:pStyle w:val="Corpodeltesto2"/>
        <w:spacing w:line="360" w:lineRule="auto"/>
        <w:ind w:right="-56"/>
        <w:rPr>
          <w:rFonts w:ascii="Verdana" w:hAnsi="Verdana"/>
          <w:sz w:val="22"/>
          <w:szCs w:val="22"/>
          <w:highlight w:val="lightGray"/>
        </w:rPr>
      </w:pPr>
    </w:p>
    <w:p w:rsidR="006B4BD5" w:rsidRPr="00854DFE" w:rsidRDefault="006B4BD5" w:rsidP="00854DFE">
      <w:pPr>
        <w:pStyle w:val="Corpodeltesto2"/>
        <w:spacing w:line="360" w:lineRule="auto"/>
        <w:ind w:right="-56"/>
        <w:rPr>
          <w:rFonts w:ascii="Verdana" w:hAnsi="Verdana"/>
          <w:sz w:val="22"/>
          <w:szCs w:val="22"/>
          <w:highlight w:val="lightGray"/>
        </w:rPr>
      </w:pPr>
    </w:p>
    <w:p w:rsidR="006A03D2" w:rsidRPr="00FA609F" w:rsidRDefault="006A03D2" w:rsidP="006A03D2">
      <w:pPr>
        <w:spacing w:line="360" w:lineRule="auto"/>
        <w:ind w:left="567" w:right="567"/>
        <w:jc w:val="both"/>
        <w:rPr>
          <w:rFonts w:ascii="Verdana" w:hAnsi="Verdana"/>
          <w:b/>
          <w:sz w:val="24"/>
          <w:szCs w:val="24"/>
        </w:rPr>
      </w:pPr>
      <w:r w:rsidRPr="00FA609F">
        <w:rPr>
          <w:rFonts w:ascii="Verdana" w:hAnsi="Verdana"/>
          <w:b/>
          <w:sz w:val="24"/>
          <w:szCs w:val="24"/>
        </w:rPr>
        <w:t>Commento:</w:t>
      </w:r>
    </w:p>
    <w:p w:rsidR="00816EC9" w:rsidRDefault="003828AC" w:rsidP="00B02FA5">
      <w:pPr>
        <w:pStyle w:val="Corpodeltesto2"/>
        <w:spacing w:line="360" w:lineRule="auto"/>
        <w:ind w:right="-56"/>
        <w:rPr>
          <w:rFonts w:ascii="Verdana" w:hAnsi="Verdana"/>
          <w:sz w:val="22"/>
          <w:szCs w:val="22"/>
        </w:rPr>
      </w:pPr>
      <w:r>
        <w:rPr>
          <w:rFonts w:ascii="Verdana" w:hAnsi="Verdana"/>
          <w:sz w:val="22"/>
          <w:szCs w:val="22"/>
        </w:rPr>
        <w:t>Anche nel confronto con il trimestre precedente la produzione industriale mostra inequivocabilmente una svolta negativa (-1,2%)</w:t>
      </w:r>
      <w:r w:rsidR="00660902">
        <w:rPr>
          <w:rFonts w:ascii="Verdana" w:hAnsi="Verdana"/>
          <w:sz w:val="22"/>
          <w:szCs w:val="22"/>
        </w:rPr>
        <w:t>,</w:t>
      </w:r>
      <w:r w:rsidR="00AA7A82">
        <w:rPr>
          <w:rFonts w:ascii="Verdana" w:hAnsi="Verdana"/>
          <w:sz w:val="22"/>
          <w:szCs w:val="22"/>
        </w:rPr>
        <w:t xml:space="preserve"> con</w:t>
      </w:r>
      <w:r>
        <w:rPr>
          <w:rFonts w:ascii="Verdana" w:hAnsi="Verdana"/>
          <w:sz w:val="22"/>
          <w:szCs w:val="22"/>
        </w:rPr>
        <w:t xml:space="preserve"> </w:t>
      </w:r>
      <w:r w:rsidR="00AA7A82">
        <w:rPr>
          <w:rFonts w:ascii="Verdana" w:hAnsi="Verdana"/>
          <w:sz w:val="22"/>
          <w:szCs w:val="22"/>
        </w:rPr>
        <w:t>un</w:t>
      </w:r>
      <w:r>
        <w:rPr>
          <w:rFonts w:ascii="Verdana" w:hAnsi="Verdana"/>
          <w:sz w:val="22"/>
          <w:szCs w:val="22"/>
        </w:rPr>
        <w:t xml:space="preserve">a </w:t>
      </w:r>
      <w:r w:rsidR="00571C94">
        <w:rPr>
          <w:rFonts w:ascii="Verdana" w:hAnsi="Verdana"/>
          <w:sz w:val="22"/>
          <w:szCs w:val="22"/>
        </w:rPr>
        <w:t xml:space="preserve">sensibile </w:t>
      </w:r>
      <w:r>
        <w:rPr>
          <w:rFonts w:ascii="Verdana" w:hAnsi="Verdana"/>
          <w:sz w:val="22"/>
          <w:szCs w:val="22"/>
        </w:rPr>
        <w:t xml:space="preserve">contrazione dei volumi </w:t>
      </w:r>
      <w:r w:rsidR="00AA7A82">
        <w:rPr>
          <w:rFonts w:ascii="Verdana" w:hAnsi="Verdana"/>
          <w:sz w:val="22"/>
          <w:szCs w:val="22"/>
        </w:rPr>
        <w:t xml:space="preserve">che non si manifestava </w:t>
      </w:r>
      <w:r>
        <w:rPr>
          <w:rFonts w:ascii="Verdana" w:hAnsi="Verdana"/>
          <w:sz w:val="22"/>
          <w:szCs w:val="22"/>
        </w:rPr>
        <w:t>dal 2013.</w:t>
      </w:r>
    </w:p>
    <w:p w:rsidR="003828AC" w:rsidRDefault="003828AC" w:rsidP="00B02FA5">
      <w:pPr>
        <w:pStyle w:val="Corpodeltesto2"/>
        <w:spacing w:line="360" w:lineRule="auto"/>
        <w:ind w:right="-56"/>
        <w:rPr>
          <w:rFonts w:ascii="Verdana" w:hAnsi="Verdana"/>
          <w:sz w:val="22"/>
          <w:szCs w:val="22"/>
        </w:rPr>
      </w:pPr>
      <w:r>
        <w:rPr>
          <w:rFonts w:ascii="Verdana" w:hAnsi="Verdana"/>
          <w:sz w:val="22"/>
          <w:szCs w:val="22"/>
        </w:rPr>
        <w:t>In ottica congiunturale gli ordini interni crescono dello 0,4%,</w:t>
      </w:r>
      <w:r w:rsidR="00D96542">
        <w:rPr>
          <w:rFonts w:ascii="Verdana" w:hAnsi="Verdana"/>
          <w:sz w:val="22"/>
          <w:szCs w:val="22"/>
        </w:rPr>
        <w:t xml:space="preserve"> dopo aver perso 1,3 punti percentuale nello scorso trimestre,</w:t>
      </w:r>
      <w:r>
        <w:rPr>
          <w:rFonts w:ascii="Verdana" w:hAnsi="Verdana"/>
          <w:sz w:val="22"/>
          <w:szCs w:val="22"/>
        </w:rPr>
        <w:t xml:space="preserve"> mentre viene confermata la svolta negativa degli ordinativi dall’estero (-0,5%)</w:t>
      </w:r>
      <w:r w:rsidR="00452F7D">
        <w:rPr>
          <w:rFonts w:ascii="Verdana" w:hAnsi="Verdana"/>
          <w:sz w:val="22"/>
          <w:szCs w:val="22"/>
        </w:rPr>
        <w:t xml:space="preserve"> già manifestatasi lo scorso trimestre</w:t>
      </w:r>
      <w:r>
        <w:rPr>
          <w:rFonts w:ascii="Verdana" w:hAnsi="Verdana"/>
          <w:sz w:val="22"/>
          <w:szCs w:val="22"/>
        </w:rPr>
        <w:t>.</w:t>
      </w:r>
    </w:p>
    <w:p w:rsidR="00D96542" w:rsidRDefault="00452F7D" w:rsidP="00B02FA5">
      <w:pPr>
        <w:pStyle w:val="Corpodeltesto2"/>
        <w:spacing w:line="360" w:lineRule="auto"/>
        <w:ind w:right="-56"/>
        <w:rPr>
          <w:rFonts w:ascii="Verdana" w:hAnsi="Verdana"/>
          <w:sz w:val="22"/>
          <w:szCs w:val="22"/>
        </w:rPr>
      </w:pPr>
      <w:r>
        <w:rPr>
          <w:rFonts w:ascii="Verdana" w:hAnsi="Verdana"/>
          <w:sz w:val="22"/>
          <w:szCs w:val="22"/>
        </w:rPr>
        <w:t>P</w:t>
      </w:r>
      <w:r w:rsidR="00D96542">
        <w:rPr>
          <w:rFonts w:ascii="Verdana" w:hAnsi="Verdana"/>
          <w:sz w:val="22"/>
          <w:szCs w:val="22"/>
        </w:rPr>
        <w:t xml:space="preserve">er il fatturato il segno è positivo (+1,0%) dopo </w:t>
      </w:r>
      <w:r>
        <w:rPr>
          <w:rFonts w:ascii="Verdana" w:hAnsi="Verdana"/>
          <w:sz w:val="22"/>
          <w:szCs w:val="22"/>
        </w:rPr>
        <w:t>due</w:t>
      </w:r>
      <w:r w:rsidR="00D96542">
        <w:rPr>
          <w:rFonts w:ascii="Verdana" w:hAnsi="Verdana"/>
          <w:sz w:val="22"/>
          <w:szCs w:val="22"/>
        </w:rPr>
        <w:t xml:space="preserve"> trimestr</w:t>
      </w:r>
      <w:r>
        <w:rPr>
          <w:rFonts w:ascii="Verdana" w:hAnsi="Verdana"/>
          <w:sz w:val="22"/>
          <w:szCs w:val="22"/>
        </w:rPr>
        <w:t>i</w:t>
      </w:r>
      <w:r w:rsidR="00D96542">
        <w:rPr>
          <w:rFonts w:ascii="Verdana" w:hAnsi="Verdana"/>
          <w:sz w:val="22"/>
          <w:szCs w:val="22"/>
        </w:rPr>
        <w:t xml:space="preserve"> di debole crescita</w:t>
      </w:r>
      <w:r>
        <w:rPr>
          <w:rFonts w:ascii="Verdana" w:hAnsi="Verdana"/>
          <w:sz w:val="22"/>
          <w:szCs w:val="22"/>
        </w:rPr>
        <w:t xml:space="preserve"> a fine 2017, seguiti</w:t>
      </w:r>
      <w:r w:rsidR="00D96542">
        <w:rPr>
          <w:rFonts w:ascii="Verdana" w:hAnsi="Verdana"/>
          <w:sz w:val="22"/>
          <w:szCs w:val="22"/>
        </w:rPr>
        <w:t xml:space="preserve"> dalla svolta negativa di inizio anno.</w:t>
      </w:r>
    </w:p>
    <w:p w:rsidR="00D96542" w:rsidRDefault="00110DDF" w:rsidP="00B02FA5">
      <w:pPr>
        <w:pStyle w:val="Corpodeltesto2"/>
        <w:spacing w:line="360" w:lineRule="auto"/>
        <w:ind w:right="-56"/>
        <w:rPr>
          <w:rFonts w:ascii="Verdana" w:hAnsi="Verdana"/>
          <w:sz w:val="22"/>
          <w:szCs w:val="22"/>
        </w:rPr>
      </w:pPr>
      <w:r>
        <w:rPr>
          <w:rFonts w:ascii="Verdana" w:hAnsi="Verdana"/>
          <w:sz w:val="22"/>
          <w:szCs w:val="22"/>
        </w:rPr>
        <w:t>Le difficoltà dei mercati internazionali influiscono anche sulla quota del fatturato estero che, pur rimanendo elevata</w:t>
      </w:r>
      <w:r w:rsidR="00340E26">
        <w:rPr>
          <w:rFonts w:ascii="Verdana" w:hAnsi="Verdana"/>
          <w:sz w:val="22"/>
          <w:szCs w:val="22"/>
        </w:rPr>
        <w:t>,</w:t>
      </w:r>
      <w:r>
        <w:rPr>
          <w:rFonts w:ascii="Verdana" w:hAnsi="Verdana"/>
          <w:sz w:val="22"/>
          <w:szCs w:val="22"/>
        </w:rPr>
        <w:t xml:space="preserve"> si allontana dai punti di massimo superiori al 40% raggiunti lo scorso anno</w:t>
      </w:r>
      <w:r w:rsidR="00452F7D">
        <w:rPr>
          <w:rFonts w:ascii="Verdana" w:hAnsi="Verdana"/>
          <w:sz w:val="22"/>
          <w:szCs w:val="22"/>
        </w:rPr>
        <w:t xml:space="preserve"> consolida</w:t>
      </w:r>
      <w:r w:rsidR="00340E26">
        <w:rPr>
          <w:rFonts w:ascii="Verdana" w:hAnsi="Verdana"/>
          <w:sz w:val="22"/>
          <w:szCs w:val="22"/>
        </w:rPr>
        <w:t>ndo</w:t>
      </w:r>
      <w:r w:rsidR="00452F7D">
        <w:rPr>
          <w:rFonts w:ascii="Verdana" w:hAnsi="Verdana"/>
          <w:sz w:val="22"/>
          <w:szCs w:val="22"/>
        </w:rPr>
        <w:t xml:space="preserve"> </w:t>
      </w:r>
      <w:r w:rsidR="000A546F">
        <w:rPr>
          <w:rFonts w:ascii="Verdana" w:hAnsi="Verdana"/>
          <w:sz w:val="22"/>
          <w:szCs w:val="22"/>
        </w:rPr>
        <w:t>l</w:t>
      </w:r>
      <w:r w:rsidR="00452F7D">
        <w:rPr>
          <w:rFonts w:ascii="Verdana" w:hAnsi="Verdana"/>
          <w:sz w:val="22"/>
          <w:szCs w:val="22"/>
        </w:rPr>
        <w:t>a tendenza decrescente</w:t>
      </w:r>
      <w:r>
        <w:rPr>
          <w:rFonts w:ascii="Verdana" w:hAnsi="Verdana"/>
          <w:sz w:val="22"/>
          <w:szCs w:val="22"/>
        </w:rPr>
        <w:t>.</w:t>
      </w:r>
    </w:p>
    <w:p w:rsidR="003828AC" w:rsidRPr="00E34FF9" w:rsidRDefault="00843D10" w:rsidP="00B02FA5">
      <w:pPr>
        <w:pStyle w:val="Corpodeltesto2"/>
        <w:spacing w:line="360" w:lineRule="auto"/>
        <w:ind w:right="-56"/>
        <w:rPr>
          <w:rFonts w:ascii="Verdana" w:hAnsi="Verdana"/>
          <w:sz w:val="22"/>
          <w:szCs w:val="22"/>
        </w:rPr>
      </w:pPr>
      <w:r>
        <w:rPr>
          <w:rFonts w:ascii="Verdana" w:hAnsi="Verdana"/>
          <w:sz w:val="22"/>
          <w:szCs w:val="22"/>
        </w:rPr>
        <w:t>I prezzi rimangono poco dinamici</w:t>
      </w:r>
      <w:r w:rsidR="003D4D59">
        <w:rPr>
          <w:rFonts w:ascii="Verdana" w:hAnsi="Verdana"/>
          <w:sz w:val="22"/>
          <w:szCs w:val="22"/>
        </w:rPr>
        <w:t>,</w:t>
      </w:r>
      <w:r>
        <w:rPr>
          <w:rFonts w:ascii="Verdana" w:hAnsi="Verdana"/>
          <w:sz w:val="22"/>
          <w:szCs w:val="22"/>
        </w:rPr>
        <w:t xml:space="preserve"> con incrementi inferiori al punto percentuale sia per le materie prime (+0,8%) che per i prodotti finiti (+0,6%).</w:t>
      </w:r>
    </w:p>
    <w:p w:rsidR="005504FA" w:rsidRDefault="008E49C6" w:rsidP="00B012FD">
      <w:pPr>
        <w:pStyle w:val="Titolo1"/>
        <w:rPr>
          <w:sz w:val="28"/>
          <w:szCs w:val="28"/>
        </w:rPr>
      </w:pPr>
      <w:r w:rsidRPr="00C94BFB">
        <w:br w:type="page"/>
      </w:r>
      <w:bookmarkStart w:id="8" w:name="_Toc139967543"/>
      <w:bookmarkStart w:id="9" w:name="_Toc188872003"/>
      <w:bookmarkStart w:id="10" w:name="_Toc519784536"/>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4F5D65">
        <w:rPr>
          <w:noProof/>
        </w:rPr>
        <w:t>3</w:t>
      </w:r>
      <w:r w:rsidR="00651D3B">
        <w:rPr>
          <w:noProof/>
        </w:rPr>
        <w:fldChar w:fldCharType="end"/>
      </w:r>
      <w:r w:rsidR="005504FA" w:rsidRPr="00EB60DF">
        <w:rPr>
          <w:sz w:val="28"/>
          <w:szCs w:val="28"/>
        </w:rPr>
        <w:t>: Indicatori occupazionali</w:t>
      </w:r>
      <w:bookmarkEnd w:id="8"/>
      <w:bookmarkEnd w:id="9"/>
      <w:bookmarkEnd w:id="10"/>
    </w:p>
    <w:p w:rsidR="009824AC" w:rsidRPr="009824AC" w:rsidRDefault="009824AC" w:rsidP="009824AC">
      <w:r>
        <w:t>Anni 201</w:t>
      </w:r>
      <w:r w:rsidR="00831F57">
        <w:t>4 - 2019</w:t>
      </w:r>
    </w:p>
    <w:tbl>
      <w:tblPr>
        <w:tblW w:w="8731"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559"/>
        <w:gridCol w:w="1631"/>
        <w:gridCol w:w="12"/>
      </w:tblGrid>
      <w:tr w:rsidR="00776E63" w:rsidRPr="00992876" w:rsidTr="00CA18DA">
        <w:trPr>
          <w:trHeight w:val="375"/>
        </w:trPr>
        <w:tc>
          <w:tcPr>
            <w:tcW w:w="816" w:type="dxa"/>
            <w:shd w:val="clear" w:color="auto" w:fill="auto"/>
            <w:vAlign w:val="center"/>
          </w:tcPr>
          <w:p w:rsidR="00776E63" w:rsidRPr="00992876" w:rsidRDefault="00776E63" w:rsidP="006C017B">
            <w:pPr>
              <w:jc w:val="center"/>
              <w:rPr>
                <w:rFonts w:ascii="Verdana" w:hAnsi="Verdana" w:cs="Arial"/>
                <w:b/>
                <w:bCs/>
                <w:sz w:val="18"/>
                <w:szCs w:val="18"/>
              </w:rPr>
            </w:pPr>
          </w:p>
        </w:tc>
        <w:tc>
          <w:tcPr>
            <w:tcW w:w="1140" w:type="dxa"/>
            <w:shd w:val="clear" w:color="auto" w:fill="auto"/>
            <w:vAlign w:val="center"/>
            <w:hideMark/>
          </w:tcPr>
          <w:p w:rsidR="00776E63" w:rsidRPr="00992876" w:rsidRDefault="00776E63" w:rsidP="006C017B">
            <w:pPr>
              <w:jc w:val="center"/>
              <w:rPr>
                <w:rFonts w:ascii="Verdana" w:hAnsi="Verdana" w:cs="Arial"/>
                <w:b/>
                <w:bCs/>
                <w:sz w:val="18"/>
                <w:szCs w:val="18"/>
              </w:rPr>
            </w:pP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202"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45791A">
        <w:trPr>
          <w:gridAfter w:val="1"/>
          <w:wAfter w:w="12" w:type="dxa"/>
          <w:trHeight w:val="377"/>
        </w:trPr>
        <w:tc>
          <w:tcPr>
            <w:tcW w:w="816" w:type="dxa"/>
            <w:shd w:val="pct5" w:color="000000" w:fill="FFFFFF"/>
            <w:vAlign w:val="center"/>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Anni</w:t>
            </w:r>
          </w:p>
        </w:tc>
        <w:tc>
          <w:tcPr>
            <w:tcW w:w="1140" w:type="dxa"/>
            <w:shd w:val="pct5" w:color="000000" w:fill="FFFFFF"/>
            <w:vAlign w:val="center"/>
            <w:hideMark/>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Trimestri</w:t>
            </w: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559"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1,5</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1,3</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19,9</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4E1F81" w:rsidRPr="00992876" w:rsidRDefault="00776E63" w:rsidP="004E1F81">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20,0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1,7</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17,9</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1,8</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1,1</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2,2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-1,1</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19,1</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559"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45791A">
        <w:trPr>
          <w:gridAfter w:val="1"/>
          <w:wAfter w:w="12" w:type="dxa"/>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559"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45791A">
        <w:trPr>
          <w:gridAfter w:val="1"/>
          <w:wAfter w:w="12" w:type="dxa"/>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559"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45791A">
        <w:trPr>
          <w:gridAfter w:val="1"/>
          <w:wAfter w:w="12" w:type="dxa"/>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559"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45791A">
        <w:trPr>
          <w:gridAfter w:val="1"/>
          <w:wAfter w:w="12" w:type="dxa"/>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559"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45791A">
        <w:trPr>
          <w:gridAfter w:val="1"/>
          <w:wAfter w:w="12" w:type="dxa"/>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45791A">
        <w:trPr>
          <w:gridAfter w:val="1"/>
          <w:wAfter w:w="12" w:type="dxa"/>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E76F48"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0,0</w:t>
            </w:r>
          </w:p>
        </w:tc>
        <w:tc>
          <w:tcPr>
            <w:tcW w:w="1559"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7,2</w:t>
            </w:r>
          </w:p>
        </w:tc>
        <w:tc>
          <w:tcPr>
            <w:tcW w:w="1631" w:type="dxa"/>
            <w:shd w:val="clear" w:color="auto" w:fill="F2F2F2" w:themeFill="background1" w:themeFillShade="F2"/>
          </w:tcPr>
          <w:p w:rsidR="00B25853" w:rsidRPr="00992876" w:rsidRDefault="005F76FF" w:rsidP="002D0661">
            <w:pPr>
              <w:jc w:val="right"/>
              <w:rPr>
                <w:rFonts w:ascii="Verdana" w:hAnsi="Verdana" w:cs="Arial"/>
                <w:sz w:val="18"/>
                <w:szCs w:val="18"/>
              </w:rPr>
            </w:pPr>
            <w:r>
              <w:rPr>
                <w:rFonts w:ascii="Verdana" w:hAnsi="Verdana" w:cs="Arial"/>
                <w:sz w:val="18"/>
                <w:szCs w:val="18"/>
              </w:rPr>
              <w:t>1,0</w:t>
            </w:r>
          </w:p>
        </w:tc>
      </w:tr>
      <w:tr w:rsidR="00E76F48" w:rsidRPr="00995048" w:rsidTr="0045791A">
        <w:trPr>
          <w:gridAfter w:val="1"/>
          <w:wAfter w:w="12" w:type="dxa"/>
          <w:trHeight w:val="165"/>
        </w:trPr>
        <w:tc>
          <w:tcPr>
            <w:tcW w:w="816" w:type="dxa"/>
            <w:shd w:val="clear" w:color="auto" w:fill="BFBFBF" w:themeFill="background1" w:themeFillShade="BF"/>
          </w:tcPr>
          <w:p w:rsidR="00E76F48" w:rsidRPr="00995048" w:rsidRDefault="00995048" w:rsidP="00AB0FB9">
            <w:pPr>
              <w:rPr>
                <w:rFonts w:ascii="Verdana" w:hAnsi="Verdana" w:cs="Arial"/>
                <w:b/>
                <w:sz w:val="18"/>
                <w:szCs w:val="18"/>
              </w:rPr>
            </w:pPr>
            <w:r>
              <w:rPr>
                <w:rFonts w:ascii="Verdana" w:hAnsi="Verdana" w:cs="Arial"/>
                <w:b/>
                <w:sz w:val="18"/>
                <w:szCs w:val="18"/>
              </w:rPr>
              <w:t>2018</w:t>
            </w:r>
          </w:p>
        </w:tc>
        <w:tc>
          <w:tcPr>
            <w:tcW w:w="1140" w:type="dxa"/>
            <w:shd w:val="clear" w:color="auto" w:fill="BFBFBF" w:themeFill="background1" w:themeFillShade="BF"/>
          </w:tcPr>
          <w:p w:rsidR="00E76F48" w:rsidRPr="00995048" w:rsidRDefault="00995048"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2,7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1,0</w:t>
            </w:r>
          </w:p>
        </w:tc>
        <w:tc>
          <w:tcPr>
            <w:tcW w:w="1559"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6,0</w:t>
            </w:r>
          </w:p>
        </w:tc>
        <w:tc>
          <w:tcPr>
            <w:tcW w:w="1631"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1,1</w:t>
            </w:r>
          </w:p>
        </w:tc>
      </w:tr>
      <w:tr w:rsidR="00B40503" w:rsidRPr="00141125" w:rsidTr="0045791A">
        <w:trPr>
          <w:gridAfter w:val="1"/>
          <w:wAfter w:w="12" w:type="dxa"/>
          <w:trHeight w:val="165"/>
        </w:trPr>
        <w:tc>
          <w:tcPr>
            <w:tcW w:w="816" w:type="dxa"/>
            <w:shd w:val="clear" w:color="auto" w:fill="F2F2F2" w:themeFill="background1" w:themeFillShade="F2"/>
          </w:tcPr>
          <w:p w:rsidR="00B40503" w:rsidRPr="00141125" w:rsidRDefault="00B40503" w:rsidP="00AB0FB9">
            <w:pPr>
              <w:rPr>
                <w:rFonts w:ascii="Verdana" w:hAnsi="Verdana" w:cs="Arial"/>
                <w:sz w:val="18"/>
                <w:szCs w:val="18"/>
              </w:rPr>
            </w:pPr>
          </w:p>
        </w:tc>
        <w:tc>
          <w:tcPr>
            <w:tcW w:w="1140" w:type="dxa"/>
            <w:shd w:val="clear" w:color="auto" w:fill="F2F2F2" w:themeFill="background1" w:themeFillShade="F2"/>
          </w:tcPr>
          <w:p w:rsidR="00B40503" w:rsidRPr="00141125" w:rsidRDefault="00B40503" w:rsidP="00B40503">
            <w:pPr>
              <w:jc w:val="center"/>
              <w:rPr>
                <w:rFonts w:ascii="Verdana" w:hAnsi="Verdana" w:cs="Arial"/>
                <w:sz w:val="18"/>
                <w:szCs w:val="18"/>
              </w:rPr>
            </w:pPr>
            <w:r w:rsidRPr="00141125">
              <w:rPr>
                <w:rFonts w:ascii="Verdana" w:hAnsi="Verdana" w:cs="Arial"/>
                <w:sz w:val="18"/>
                <w:szCs w:val="18"/>
              </w:rPr>
              <w:t>2</w:t>
            </w:r>
          </w:p>
        </w:tc>
        <w:tc>
          <w:tcPr>
            <w:tcW w:w="1305" w:type="dxa"/>
            <w:shd w:val="clear" w:color="auto" w:fill="F2F2F2" w:themeFill="background1" w:themeFillShade="F2"/>
          </w:tcPr>
          <w:p w:rsidR="00B40503" w:rsidRPr="00141125" w:rsidRDefault="00141125" w:rsidP="00141125">
            <w:pPr>
              <w:jc w:val="right"/>
              <w:rPr>
                <w:rFonts w:ascii="Verdana" w:hAnsi="Verdana" w:cs="Arial"/>
                <w:sz w:val="18"/>
                <w:szCs w:val="18"/>
              </w:rPr>
            </w:pPr>
            <w:r w:rsidRPr="00141125">
              <w:rPr>
                <w:rFonts w:ascii="Verdana" w:hAnsi="Verdana" w:cs="Arial"/>
                <w:sz w:val="18"/>
                <w:szCs w:val="18"/>
              </w:rPr>
              <w:t>2,3</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1,7</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0,6</w:t>
            </w:r>
          </w:p>
        </w:tc>
        <w:tc>
          <w:tcPr>
            <w:tcW w:w="1559"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5,6</w:t>
            </w:r>
          </w:p>
        </w:tc>
        <w:tc>
          <w:tcPr>
            <w:tcW w:w="1631"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1,2</w:t>
            </w:r>
          </w:p>
        </w:tc>
      </w:tr>
      <w:tr w:rsidR="005F577C" w:rsidRPr="00141125" w:rsidTr="0045791A">
        <w:trPr>
          <w:gridAfter w:val="1"/>
          <w:wAfter w:w="12" w:type="dxa"/>
          <w:trHeight w:val="165"/>
        </w:trPr>
        <w:tc>
          <w:tcPr>
            <w:tcW w:w="816" w:type="dxa"/>
            <w:shd w:val="clear" w:color="auto" w:fill="F2F2F2" w:themeFill="background1" w:themeFillShade="F2"/>
          </w:tcPr>
          <w:p w:rsidR="005F577C" w:rsidRPr="00141125" w:rsidRDefault="005F577C" w:rsidP="00AB0FB9">
            <w:pPr>
              <w:rPr>
                <w:rFonts w:ascii="Verdana" w:hAnsi="Verdana" w:cs="Arial"/>
                <w:sz w:val="18"/>
                <w:szCs w:val="18"/>
              </w:rPr>
            </w:pPr>
          </w:p>
        </w:tc>
        <w:tc>
          <w:tcPr>
            <w:tcW w:w="1140" w:type="dxa"/>
            <w:shd w:val="clear" w:color="auto" w:fill="F2F2F2" w:themeFill="background1" w:themeFillShade="F2"/>
          </w:tcPr>
          <w:p w:rsidR="005F577C" w:rsidRPr="00141125" w:rsidRDefault="005F577C" w:rsidP="00B40503">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5F577C" w:rsidRPr="00141125" w:rsidRDefault="00AD4810" w:rsidP="00141125">
            <w:pPr>
              <w:jc w:val="right"/>
              <w:rPr>
                <w:rFonts w:ascii="Verdana" w:hAnsi="Verdana" w:cs="Arial"/>
                <w:sz w:val="18"/>
                <w:szCs w:val="18"/>
              </w:rPr>
            </w:pPr>
            <w:r>
              <w:rPr>
                <w:rFonts w:ascii="Verdana" w:hAnsi="Verdana" w:cs="Arial"/>
                <w:sz w:val="18"/>
                <w:szCs w:val="18"/>
              </w:rPr>
              <w:t>2,1</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4,8</w:t>
            </w:r>
          </w:p>
        </w:tc>
        <w:tc>
          <w:tcPr>
            <w:tcW w:w="1631"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0,9</w:t>
            </w:r>
          </w:p>
        </w:tc>
      </w:tr>
      <w:tr w:rsidR="00995048" w:rsidRPr="00995048" w:rsidTr="0045791A">
        <w:trPr>
          <w:gridAfter w:val="1"/>
          <w:wAfter w:w="12" w:type="dxa"/>
          <w:trHeight w:val="165"/>
        </w:trPr>
        <w:tc>
          <w:tcPr>
            <w:tcW w:w="816" w:type="dxa"/>
            <w:shd w:val="clear" w:color="auto" w:fill="F2F2F2" w:themeFill="background1" w:themeFillShade="F2"/>
          </w:tcPr>
          <w:p w:rsidR="00995048" w:rsidRDefault="00995048" w:rsidP="00AB0FB9">
            <w:pPr>
              <w:rPr>
                <w:rFonts w:ascii="Verdana" w:hAnsi="Verdana" w:cs="Arial"/>
                <w:b/>
                <w:sz w:val="18"/>
                <w:szCs w:val="18"/>
              </w:rPr>
            </w:pPr>
          </w:p>
        </w:tc>
        <w:tc>
          <w:tcPr>
            <w:tcW w:w="1140" w:type="dxa"/>
            <w:shd w:val="clear" w:color="auto" w:fill="F2F2F2" w:themeFill="background1" w:themeFillShade="F2"/>
          </w:tcPr>
          <w:p w:rsidR="00995048" w:rsidRPr="00086644" w:rsidRDefault="00086644" w:rsidP="00E94230">
            <w:pPr>
              <w:jc w:val="center"/>
              <w:rPr>
                <w:rFonts w:ascii="Verdana" w:hAnsi="Verdana" w:cs="Arial"/>
                <w:sz w:val="18"/>
                <w:szCs w:val="18"/>
              </w:rPr>
            </w:pPr>
            <w:r w:rsidRPr="00086644">
              <w:rPr>
                <w:rFonts w:ascii="Verdana" w:hAnsi="Verdana" w:cs="Arial"/>
                <w:sz w:val="18"/>
                <w:szCs w:val="18"/>
              </w:rPr>
              <w:t>4</w:t>
            </w:r>
          </w:p>
        </w:tc>
        <w:tc>
          <w:tcPr>
            <w:tcW w:w="1305"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1,7</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2,0</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-0,3</w:t>
            </w:r>
          </w:p>
        </w:tc>
        <w:tc>
          <w:tcPr>
            <w:tcW w:w="1559"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6,5</w:t>
            </w:r>
          </w:p>
        </w:tc>
        <w:tc>
          <w:tcPr>
            <w:tcW w:w="1631"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1,1</w:t>
            </w:r>
          </w:p>
        </w:tc>
      </w:tr>
      <w:tr w:rsidR="00831F57" w:rsidRPr="00995048" w:rsidTr="007C5CF0">
        <w:trPr>
          <w:gridAfter w:val="1"/>
          <w:wAfter w:w="12" w:type="dxa"/>
          <w:trHeight w:val="152"/>
        </w:trPr>
        <w:tc>
          <w:tcPr>
            <w:tcW w:w="816" w:type="dxa"/>
            <w:shd w:val="clear" w:color="auto" w:fill="BFBFBF" w:themeFill="background1" w:themeFillShade="BF"/>
          </w:tcPr>
          <w:p w:rsidR="00831F57" w:rsidRDefault="00831F57" w:rsidP="00AB0FB9">
            <w:pPr>
              <w:rPr>
                <w:rFonts w:ascii="Verdana" w:hAnsi="Verdana" w:cs="Arial"/>
                <w:b/>
                <w:sz w:val="18"/>
                <w:szCs w:val="18"/>
              </w:rPr>
            </w:pPr>
            <w:r>
              <w:rPr>
                <w:rFonts w:ascii="Verdana" w:hAnsi="Verdana" w:cs="Arial"/>
                <w:b/>
                <w:sz w:val="18"/>
                <w:szCs w:val="18"/>
              </w:rPr>
              <w:t>2019</w:t>
            </w:r>
          </w:p>
        </w:tc>
        <w:tc>
          <w:tcPr>
            <w:tcW w:w="1140" w:type="dxa"/>
            <w:shd w:val="clear" w:color="auto" w:fill="BFBFBF" w:themeFill="background1" w:themeFillShade="BF"/>
          </w:tcPr>
          <w:p w:rsidR="00831F57" w:rsidRDefault="00831F57"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2,1</w:t>
            </w:r>
          </w:p>
        </w:tc>
        <w:tc>
          <w:tcPr>
            <w:tcW w:w="1134" w:type="dxa"/>
            <w:shd w:val="clear" w:color="auto" w:fill="BFBFBF" w:themeFill="background1" w:themeFillShade="BF"/>
          </w:tcPr>
          <w:p w:rsidR="00831F57" w:rsidRPr="00995048" w:rsidRDefault="00237477" w:rsidP="00B97DE9">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0,5</w:t>
            </w:r>
          </w:p>
        </w:tc>
        <w:tc>
          <w:tcPr>
            <w:tcW w:w="1559"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6,1</w:t>
            </w:r>
          </w:p>
        </w:tc>
        <w:tc>
          <w:tcPr>
            <w:tcW w:w="1631"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0,6</w:t>
            </w:r>
          </w:p>
        </w:tc>
      </w:tr>
      <w:tr w:rsidR="00AE6311" w:rsidRPr="00AE6311" w:rsidTr="00AE6311">
        <w:trPr>
          <w:gridAfter w:val="1"/>
          <w:wAfter w:w="12" w:type="dxa"/>
          <w:trHeight w:val="152"/>
        </w:trPr>
        <w:tc>
          <w:tcPr>
            <w:tcW w:w="816" w:type="dxa"/>
            <w:shd w:val="clear" w:color="auto" w:fill="F2F2F2" w:themeFill="background1" w:themeFillShade="F2"/>
          </w:tcPr>
          <w:p w:rsidR="00AE6311" w:rsidRPr="00AE6311" w:rsidRDefault="00AE6311" w:rsidP="00AB0FB9">
            <w:pPr>
              <w:rPr>
                <w:rFonts w:ascii="Verdana" w:hAnsi="Verdana" w:cs="Arial"/>
                <w:sz w:val="18"/>
                <w:szCs w:val="18"/>
              </w:rPr>
            </w:pPr>
          </w:p>
        </w:tc>
        <w:tc>
          <w:tcPr>
            <w:tcW w:w="1140" w:type="dxa"/>
            <w:shd w:val="clear" w:color="auto" w:fill="F2F2F2" w:themeFill="background1" w:themeFillShade="F2"/>
          </w:tcPr>
          <w:p w:rsidR="00AE6311" w:rsidRPr="00AE6311" w:rsidRDefault="00AE6311" w:rsidP="00E94230">
            <w:pPr>
              <w:jc w:val="center"/>
              <w:rPr>
                <w:rFonts w:ascii="Verdana" w:hAnsi="Verdana" w:cs="Arial"/>
                <w:sz w:val="18"/>
                <w:szCs w:val="18"/>
              </w:rPr>
            </w:pPr>
            <w:r w:rsidRPr="00AE6311">
              <w:rPr>
                <w:rFonts w:ascii="Verdana" w:hAnsi="Verdana" w:cs="Arial"/>
                <w:sz w:val="18"/>
                <w:szCs w:val="18"/>
              </w:rPr>
              <w:t>2</w:t>
            </w:r>
          </w:p>
        </w:tc>
        <w:tc>
          <w:tcPr>
            <w:tcW w:w="1305"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2,2</w:t>
            </w:r>
          </w:p>
        </w:tc>
        <w:tc>
          <w:tcPr>
            <w:tcW w:w="1134" w:type="dxa"/>
            <w:shd w:val="clear" w:color="auto" w:fill="F2F2F2" w:themeFill="background1" w:themeFillShade="F2"/>
          </w:tcPr>
          <w:p w:rsidR="00AE6311" w:rsidRPr="00AE6311" w:rsidRDefault="000D7D31" w:rsidP="00B97DE9">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0,3</w:t>
            </w:r>
          </w:p>
        </w:tc>
        <w:tc>
          <w:tcPr>
            <w:tcW w:w="1559"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6,8</w:t>
            </w:r>
          </w:p>
        </w:tc>
        <w:tc>
          <w:tcPr>
            <w:tcW w:w="1631" w:type="dxa"/>
            <w:shd w:val="clear" w:color="auto" w:fill="F2F2F2" w:themeFill="background1" w:themeFillShade="F2"/>
          </w:tcPr>
          <w:p w:rsidR="00AE6311" w:rsidRPr="00AE6311" w:rsidRDefault="00DE3C05" w:rsidP="004E4F81">
            <w:pPr>
              <w:jc w:val="right"/>
              <w:rPr>
                <w:rFonts w:ascii="Verdana" w:hAnsi="Verdana" w:cs="Arial"/>
                <w:sz w:val="18"/>
                <w:szCs w:val="18"/>
              </w:rPr>
            </w:pPr>
            <w:r>
              <w:rPr>
                <w:rFonts w:ascii="Verdana" w:hAnsi="Verdana" w:cs="Arial"/>
                <w:sz w:val="18"/>
                <w:szCs w:val="18"/>
              </w:rPr>
              <w:t>0,8</w:t>
            </w: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B97DE9" w:rsidRPr="000B5A9B" w:rsidRDefault="00B97DE9"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294E25" w:rsidRDefault="00D907C9" w:rsidP="00BA2145">
      <w:pPr>
        <w:pStyle w:val="Corpodeltesto3"/>
        <w:ind w:right="124"/>
        <w:jc w:val="both"/>
        <w:rPr>
          <w:rFonts w:ascii="Verdana" w:hAnsi="Verdana"/>
          <w:szCs w:val="22"/>
        </w:rPr>
      </w:pPr>
      <w:r w:rsidRPr="00294E25">
        <w:rPr>
          <w:rFonts w:ascii="Verdana" w:hAnsi="Verdana"/>
          <w:szCs w:val="22"/>
        </w:rPr>
        <w:t>Analizzando i</w:t>
      </w:r>
      <w:r w:rsidR="002B719D" w:rsidRPr="00294E25">
        <w:rPr>
          <w:rFonts w:ascii="Verdana" w:hAnsi="Verdana"/>
          <w:szCs w:val="22"/>
        </w:rPr>
        <w:t xml:space="preserve"> </w:t>
      </w:r>
      <w:r w:rsidR="00934834" w:rsidRPr="00294E25">
        <w:rPr>
          <w:rFonts w:ascii="Verdana" w:hAnsi="Verdana"/>
          <w:szCs w:val="22"/>
        </w:rPr>
        <w:t>dati occupazionali di flusso</w:t>
      </w:r>
      <w:r w:rsidR="00BD5226" w:rsidRPr="00294E25">
        <w:rPr>
          <w:rFonts w:ascii="Verdana" w:hAnsi="Verdana"/>
          <w:szCs w:val="22"/>
        </w:rPr>
        <w:t xml:space="preserve"> </w:t>
      </w:r>
      <w:r w:rsidRPr="00294E25">
        <w:rPr>
          <w:rFonts w:ascii="Verdana" w:hAnsi="Verdana"/>
          <w:szCs w:val="22"/>
        </w:rPr>
        <w:t>si rileva</w:t>
      </w:r>
      <w:r w:rsidR="00BD5226" w:rsidRPr="00294E25">
        <w:rPr>
          <w:rFonts w:ascii="Verdana" w:hAnsi="Verdana"/>
          <w:szCs w:val="22"/>
        </w:rPr>
        <w:t xml:space="preserve"> </w:t>
      </w:r>
      <w:r w:rsidR="00BF720D" w:rsidRPr="00294E25">
        <w:rPr>
          <w:rFonts w:ascii="Verdana" w:hAnsi="Verdana"/>
          <w:szCs w:val="22"/>
        </w:rPr>
        <w:t xml:space="preserve">un </w:t>
      </w:r>
      <w:r w:rsidR="00294E25" w:rsidRPr="00294E25">
        <w:rPr>
          <w:rFonts w:ascii="Verdana" w:hAnsi="Verdana"/>
          <w:szCs w:val="22"/>
        </w:rPr>
        <w:t>incremento sia</w:t>
      </w:r>
      <w:r w:rsidR="001C581C" w:rsidRPr="00294E25">
        <w:rPr>
          <w:rFonts w:ascii="Verdana" w:hAnsi="Verdana"/>
          <w:szCs w:val="22"/>
        </w:rPr>
        <w:t xml:space="preserve"> del tasso </w:t>
      </w:r>
      <w:r w:rsidR="004E1F81" w:rsidRPr="00294E25">
        <w:rPr>
          <w:rFonts w:ascii="Verdana" w:hAnsi="Verdana"/>
          <w:szCs w:val="22"/>
        </w:rPr>
        <w:t>d’uscita</w:t>
      </w:r>
      <w:r w:rsidR="001C581C" w:rsidRPr="00294E25">
        <w:rPr>
          <w:rFonts w:ascii="Verdana" w:hAnsi="Verdana"/>
          <w:szCs w:val="22"/>
        </w:rPr>
        <w:t xml:space="preserve"> (</w:t>
      </w:r>
      <w:r w:rsidR="00277A9C" w:rsidRPr="00294E25">
        <w:rPr>
          <w:rFonts w:ascii="Verdana" w:hAnsi="Verdana"/>
          <w:szCs w:val="22"/>
        </w:rPr>
        <w:t>1,</w:t>
      </w:r>
      <w:r w:rsidR="00294E25" w:rsidRPr="00294E25">
        <w:rPr>
          <w:rFonts w:ascii="Verdana" w:hAnsi="Verdana"/>
          <w:szCs w:val="22"/>
        </w:rPr>
        <w:t>9</w:t>
      </w:r>
      <w:r w:rsidR="001C581C" w:rsidRPr="00294E25">
        <w:rPr>
          <w:rFonts w:ascii="Verdana" w:hAnsi="Verdana"/>
          <w:szCs w:val="22"/>
        </w:rPr>
        <w:t>%)</w:t>
      </w:r>
      <w:r w:rsidR="004E1F81" w:rsidRPr="00294E25">
        <w:rPr>
          <w:rFonts w:ascii="Verdana" w:hAnsi="Verdana"/>
          <w:szCs w:val="22"/>
        </w:rPr>
        <w:t xml:space="preserve"> </w:t>
      </w:r>
      <w:r w:rsidR="00294E25" w:rsidRPr="00294E25">
        <w:rPr>
          <w:rFonts w:ascii="Verdana" w:hAnsi="Verdana"/>
          <w:szCs w:val="22"/>
        </w:rPr>
        <w:t xml:space="preserve">sia del tasso d’ingresso (2,2%) con un saldo </w:t>
      </w:r>
      <w:r w:rsidR="009E1417">
        <w:rPr>
          <w:rFonts w:ascii="Verdana" w:hAnsi="Verdana"/>
          <w:szCs w:val="22"/>
        </w:rPr>
        <w:t xml:space="preserve">che rimane </w:t>
      </w:r>
      <w:r w:rsidR="00294E25" w:rsidRPr="00294E25">
        <w:rPr>
          <w:rFonts w:ascii="Verdana" w:hAnsi="Verdana"/>
          <w:szCs w:val="22"/>
        </w:rPr>
        <w:t xml:space="preserve">positivo </w:t>
      </w:r>
      <w:r w:rsidR="009E1417">
        <w:rPr>
          <w:rFonts w:ascii="Verdana" w:hAnsi="Verdana"/>
          <w:szCs w:val="22"/>
        </w:rPr>
        <w:t xml:space="preserve">e </w:t>
      </w:r>
      <w:r w:rsidR="00294E25" w:rsidRPr="00294E25">
        <w:rPr>
          <w:rFonts w:ascii="Verdana" w:hAnsi="Verdana"/>
          <w:szCs w:val="22"/>
        </w:rPr>
        <w:t>pari allo 0,3%.</w:t>
      </w:r>
    </w:p>
    <w:p w:rsidR="00BA2145" w:rsidRPr="00F9231E" w:rsidRDefault="00FE7076" w:rsidP="00BA2145">
      <w:pPr>
        <w:pStyle w:val="Corpodeltesto3"/>
        <w:ind w:right="124"/>
        <w:jc w:val="both"/>
        <w:rPr>
          <w:rFonts w:ascii="Verdana" w:hAnsi="Verdana"/>
          <w:szCs w:val="22"/>
        </w:rPr>
      </w:pPr>
      <w:r>
        <w:rPr>
          <w:rFonts w:ascii="Verdana" w:hAnsi="Verdana"/>
          <w:szCs w:val="22"/>
        </w:rPr>
        <w:t>Primi segnali di difficoltà sul versante occupazionale</w:t>
      </w:r>
      <w:r w:rsidR="00D37A15">
        <w:rPr>
          <w:rFonts w:ascii="Verdana" w:hAnsi="Verdana"/>
          <w:szCs w:val="22"/>
        </w:rPr>
        <w:t>,</w:t>
      </w:r>
      <w:r>
        <w:rPr>
          <w:rFonts w:ascii="Verdana" w:hAnsi="Verdana"/>
          <w:szCs w:val="22"/>
        </w:rPr>
        <w:t xml:space="preserve"> ricollegabili all’andamento negativo dei livelli produttivi</w:t>
      </w:r>
      <w:r w:rsidR="00D37A15">
        <w:rPr>
          <w:rFonts w:ascii="Verdana" w:hAnsi="Verdana"/>
          <w:szCs w:val="22"/>
        </w:rPr>
        <w:t>,</w:t>
      </w:r>
      <w:r>
        <w:rPr>
          <w:rFonts w:ascii="Verdana" w:hAnsi="Verdana"/>
          <w:szCs w:val="22"/>
        </w:rPr>
        <w:t xml:space="preserve"> provengono dai dati sul ricorso alla cassa integrazione. In quest’ultimo trimestre aumenta sia la quota di imprese che dichiara di aver fatto ricorso alla CIG (6,8%) sia la quota di CIG utilizzata sul monte ore (0,8%).</w:t>
      </w:r>
    </w:p>
    <w:p w:rsidR="008E49C6" w:rsidRDefault="008E49C6" w:rsidP="00B012FD">
      <w:pPr>
        <w:pStyle w:val="Titolo1"/>
      </w:pPr>
      <w:r w:rsidRPr="00C94BFB">
        <w:br w:type="page"/>
      </w:r>
      <w:bookmarkStart w:id="11" w:name="_Toc139967544"/>
      <w:bookmarkStart w:id="12" w:name="_Toc188872004"/>
      <w:bookmarkStart w:id="13" w:name="_Toc519784537"/>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4F5D65">
        <w:rPr>
          <w:noProof/>
        </w:rPr>
        <w:t>4</w:t>
      </w:r>
      <w:r w:rsidR="00651D3B">
        <w:rPr>
          <w:noProof/>
        </w:rPr>
        <w:fldChar w:fldCharType="end"/>
      </w:r>
      <w:r w:rsidR="005504FA" w:rsidRPr="00EB60DF">
        <w:t xml:space="preserve">: Variazioni </w:t>
      </w:r>
      <w:proofErr w:type="gramStart"/>
      <w:r w:rsidR="005504FA" w:rsidRPr="00EB60DF">
        <w:t>tendenziali</w:t>
      </w:r>
      <w:r w:rsidR="00A50607" w:rsidRPr="00A50607">
        <w:rPr>
          <w:vertAlign w:val="superscript"/>
        </w:rPr>
        <w:t>(</w:t>
      </w:r>
      <w:proofErr w:type="gramEnd"/>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1"/>
      <w:bookmarkEnd w:id="12"/>
      <w:bookmarkEnd w:id="13"/>
    </w:p>
    <w:p w:rsidR="0056246E" w:rsidRPr="00EB60DF" w:rsidRDefault="00AE4EE8" w:rsidP="00F0125A">
      <w:pPr>
        <w:rPr>
          <w:rFonts w:ascii="Verdana" w:hAnsi="Verdana"/>
          <w:sz w:val="24"/>
          <w:szCs w:val="24"/>
        </w:rPr>
      </w:pPr>
      <w:r>
        <w:rPr>
          <w:rFonts w:ascii="Verdana" w:hAnsi="Verdana"/>
          <w:sz w:val="24"/>
          <w:szCs w:val="24"/>
        </w:rPr>
        <w:t>Secondo</w:t>
      </w:r>
      <w:r w:rsidR="00696167">
        <w:rPr>
          <w:rFonts w:ascii="Verdana" w:hAnsi="Verdana"/>
          <w:sz w:val="24"/>
          <w:szCs w:val="24"/>
        </w:rPr>
        <w:t xml:space="preserve"> trimestre 2019</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E84E5F" w:rsidRPr="00EB60DF" w:rsidRDefault="00E84E5F" w:rsidP="00E84E5F">
            <w:pPr>
              <w:ind w:right="-235"/>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proofErr w:type="spellStart"/>
            <w:r w:rsidRPr="00EB60DF">
              <w:rPr>
                <w:rFonts w:ascii="Verdana" w:hAnsi="Verdana" w:cs="Arial"/>
                <w:b/>
                <w:bCs/>
                <w:sz w:val="16"/>
                <w:szCs w:val="16"/>
              </w:rPr>
              <w:t>F</w:t>
            </w:r>
            <w:r w:rsidR="002A1A5D">
              <w:rPr>
                <w:rFonts w:ascii="Verdana" w:hAnsi="Verdana" w:cs="Arial"/>
                <w:b/>
                <w:bCs/>
                <w:sz w:val="16"/>
                <w:szCs w:val="16"/>
              </w:rPr>
              <w:t>attu</w:t>
            </w:r>
            <w:proofErr w:type="spellEnd"/>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092193" w:rsidRPr="00EB60DF" w:rsidTr="001C2A35">
        <w:trPr>
          <w:trHeight w:val="240"/>
        </w:trPr>
        <w:tc>
          <w:tcPr>
            <w:tcW w:w="1809" w:type="dxa"/>
            <w:shd w:val="pct5" w:color="000000" w:fill="FFFFFF"/>
            <w:hideMark/>
          </w:tcPr>
          <w:p w:rsidR="00092193" w:rsidRPr="008F7CE1" w:rsidRDefault="00092193" w:rsidP="00092193">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-0,9</w:t>
            </w:r>
          </w:p>
        </w:tc>
        <w:tc>
          <w:tcPr>
            <w:tcW w:w="992"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76,0</w:t>
            </w:r>
          </w:p>
        </w:tc>
        <w:tc>
          <w:tcPr>
            <w:tcW w:w="850"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1,8</w:t>
            </w:r>
          </w:p>
        </w:tc>
        <w:tc>
          <w:tcPr>
            <w:tcW w:w="864"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-0,1</w:t>
            </w:r>
          </w:p>
        </w:tc>
        <w:tc>
          <w:tcPr>
            <w:tcW w:w="864"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0,3</w:t>
            </w:r>
          </w:p>
        </w:tc>
        <w:tc>
          <w:tcPr>
            <w:tcW w:w="1120"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38,7</w:t>
            </w:r>
          </w:p>
        </w:tc>
        <w:tc>
          <w:tcPr>
            <w:tcW w:w="1087"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63,6</w:t>
            </w:r>
          </w:p>
        </w:tc>
        <w:tc>
          <w:tcPr>
            <w:tcW w:w="925" w:type="dxa"/>
            <w:shd w:val="pct5" w:color="000000" w:fill="FFFFFF"/>
            <w:hideMark/>
          </w:tcPr>
          <w:p w:rsidR="00092193" w:rsidRDefault="00092193" w:rsidP="00092193">
            <w:pPr>
              <w:jc w:val="right"/>
              <w:rPr>
                <w:rFonts w:ascii="Verdana" w:hAnsi="Verdana" w:cs="Arial"/>
                <w:b/>
                <w:bCs/>
                <w:sz w:val="18"/>
                <w:szCs w:val="18"/>
              </w:rPr>
            </w:pPr>
            <w:r>
              <w:rPr>
                <w:rFonts w:ascii="Verdana" w:hAnsi="Verdana" w:cs="Arial"/>
                <w:b/>
                <w:bCs/>
                <w:sz w:val="18"/>
                <w:szCs w:val="18"/>
              </w:rPr>
              <w:t>-0,5</w:t>
            </w:r>
          </w:p>
        </w:tc>
      </w:tr>
      <w:tr w:rsidR="00092193" w:rsidRPr="00EB60DF" w:rsidTr="001C2A35">
        <w:trPr>
          <w:trHeight w:val="240"/>
        </w:trPr>
        <w:tc>
          <w:tcPr>
            <w:tcW w:w="1809" w:type="dxa"/>
            <w:shd w:val="pct20" w:color="000000" w:fill="FFFFFF"/>
            <w:hideMark/>
          </w:tcPr>
          <w:p w:rsidR="00092193" w:rsidRPr="00EB60DF" w:rsidRDefault="00092193" w:rsidP="00092193">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-1,6</w:t>
            </w:r>
          </w:p>
        </w:tc>
        <w:tc>
          <w:tcPr>
            <w:tcW w:w="992"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73,5</w:t>
            </w:r>
          </w:p>
        </w:tc>
        <w:tc>
          <w:tcPr>
            <w:tcW w:w="850"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0,5</w:t>
            </w:r>
          </w:p>
        </w:tc>
        <w:tc>
          <w:tcPr>
            <w:tcW w:w="864"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-1,8</w:t>
            </w:r>
          </w:p>
        </w:tc>
        <w:tc>
          <w:tcPr>
            <w:tcW w:w="864"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1,3</w:t>
            </w:r>
          </w:p>
        </w:tc>
        <w:tc>
          <w:tcPr>
            <w:tcW w:w="1120"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23,3</w:t>
            </w:r>
          </w:p>
        </w:tc>
        <w:tc>
          <w:tcPr>
            <w:tcW w:w="1087"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49,7</w:t>
            </w:r>
          </w:p>
        </w:tc>
        <w:tc>
          <w:tcPr>
            <w:tcW w:w="925"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-2,7</w:t>
            </w:r>
          </w:p>
        </w:tc>
      </w:tr>
      <w:tr w:rsidR="00092193" w:rsidRPr="00EB60DF" w:rsidTr="001C2A35">
        <w:trPr>
          <w:trHeight w:val="240"/>
        </w:trPr>
        <w:tc>
          <w:tcPr>
            <w:tcW w:w="1809" w:type="dxa"/>
            <w:shd w:val="pct5" w:color="000000" w:fill="FFFFFF"/>
            <w:hideMark/>
          </w:tcPr>
          <w:p w:rsidR="00092193" w:rsidRPr="00EB60DF" w:rsidRDefault="00092193" w:rsidP="00092193">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-0,8</w:t>
            </w:r>
          </w:p>
        </w:tc>
        <w:tc>
          <w:tcPr>
            <w:tcW w:w="992"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78,1</w:t>
            </w:r>
          </w:p>
        </w:tc>
        <w:tc>
          <w:tcPr>
            <w:tcW w:w="850"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1,1</w:t>
            </w:r>
          </w:p>
        </w:tc>
        <w:tc>
          <w:tcPr>
            <w:tcW w:w="864"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1,0</w:t>
            </w:r>
          </w:p>
        </w:tc>
        <w:tc>
          <w:tcPr>
            <w:tcW w:w="864"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0,3</w:t>
            </w:r>
          </w:p>
        </w:tc>
        <w:tc>
          <w:tcPr>
            <w:tcW w:w="1120"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44,2</w:t>
            </w:r>
          </w:p>
        </w:tc>
        <w:tc>
          <w:tcPr>
            <w:tcW w:w="1087"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66,2</w:t>
            </w:r>
          </w:p>
        </w:tc>
        <w:tc>
          <w:tcPr>
            <w:tcW w:w="925" w:type="dxa"/>
            <w:shd w:val="pct5"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1,6</w:t>
            </w:r>
          </w:p>
        </w:tc>
      </w:tr>
      <w:tr w:rsidR="00092193" w:rsidRPr="00EB60DF" w:rsidTr="001C2A35">
        <w:trPr>
          <w:trHeight w:val="240"/>
        </w:trPr>
        <w:tc>
          <w:tcPr>
            <w:tcW w:w="1809" w:type="dxa"/>
            <w:shd w:val="pct20" w:color="000000" w:fill="FFFFFF"/>
            <w:hideMark/>
          </w:tcPr>
          <w:p w:rsidR="00092193" w:rsidRPr="00EB60DF" w:rsidRDefault="00092193" w:rsidP="00092193">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0,0</w:t>
            </w:r>
          </w:p>
        </w:tc>
        <w:tc>
          <w:tcPr>
            <w:tcW w:w="992"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76,5</w:t>
            </w:r>
          </w:p>
        </w:tc>
        <w:tc>
          <w:tcPr>
            <w:tcW w:w="850"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4,0</w:t>
            </w:r>
          </w:p>
        </w:tc>
        <w:tc>
          <w:tcPr>
            <w:tcW w:w="864"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0,6</w:t>
            </w:r>
          </w:p>
        </w:tc>
        <w:tc>
          <w:tcPr>
            <w:tcW w:w="864"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-1,3</w:t>
            </w:r>
          </w:p>
        </w:tc>
        <w:tc>
          <w:tcPr>
            <w:tcW w:w="1120"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54,1</w:t>
            </w:r>
          </w:p>
        </w:tc>
        <w:tc>
          <w:tcPr>
            <w:tcW w:w="1087"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81,3</w:t>
            </w:r>
          </w:p>
        </w:tc>
        <w:tc>
          <w:tcPr>
            <w:tcW w:w="925" w:type="dxa"/>
            <w:shd w:val="pct20" w:color="000000" w:fill="FFFFFF"/>
            <w:hideMark/>
          </w:tcPr>
          <w:p w:rsidR="00092193" w:rsidRDefault="00092193" w:rsidP="00092193">
            <w:pPr>
              <w:jc w:val="right"/>
              <w:rPr>
                <w:rFonts w:ascii="Verdana" w:hAnsi="Verdana" w:cs="Arial"/>
                <w:sz w:val="18"/>
                <w:szCs w:val="18"/>
              </w:rPr>
            </w:pPr>
            <w:r>
              <w:rPr>
                <w:rFonts w:ascii="Verdana" w:hAnsi="Verdana" w:cs="Arial"/>
                <w:sz w:val="18"/>
                <w:szCs w:val="18"/>
              </w:rPr>
              <w:t>4,5</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E47024" w:rsidRDefault="00E47024" w:rsidP="00F75964">
      <w:pPr>
        <w:spacing w:line="360" w:lineRule="auto"/>
        <w:ind w:left="567" w:right="567"/>
        <w:rPr>
          <w:rFonts w:ascii="Verdana" w:hAnsi="Verdana"/>
          <w:sz w:val="22"/>
          <w:szCs w:val="22"/>
        </w:rPr>
      </w:pPr>
    </w:p>
    <w:p w:rsidR="00033279" w:rsidRPr="00FF7AC0" w:rsidRDefault="00033279" w:rsidP="00F75964">
      <w:pPr>
        <w:spacing w:line="360" w:lineRule="auto"/>
        <w:ind w:left="567" w:right="567"/>
        <w:rPr>
          <w:rFonts w:ascii="Verdana" w:hAnsi="Verdana"/>
          <w:sz w:val="22"/>
          <w:szCs w:val="22"/>
        </w:rPr>
      </w:pPr>
    </w:p>
    <w:p w:rsidR="00F75964" w:rsidRPr="00FF7AC0" w:rsidRDefault="00F75964" w:rsidP="00F75964">
      <w:pPr>
        <w:spacing w:line="360" w:lineRule="auto"/>
        <w:ind w:left="567" w:right="567"/>
        <w:rPr>
          <w:rFonts w:ascii="Verdana" w:hAnsi="Verdana"/>
          <w:sz w:val="24"/>
          <w:szCs w:val="24"/>
        </w:rPr>
      </w:pPr>
      <w:r w:rsidRPr="00FF7AC0">
        <w:rPr>
          <w:rFonts w:ascii="Verdana" w:hAnsi="Verdana"/>
          <w:b/>
          <w:sz w:val="24"/>
          <w:szCs w:val="24"/>
        </w:rPr>
        <w:t>Commento</w:t>
      </w:r>
      <w:r w:rsidRPr="00FF7AC0">
        <w:rPr>
          <w:rFonts w:ascii="Verdana" w:hAnsi="Verdana"/>
          <w:sz w:val="24"/>
          <w:szCs w:val="24"/>
        </w:rPr>
        <w:t>:</w:t>
      </w:r>
    </w:p>
    <w:p w:rsidR="00144857" w:rsidRDefault="0021453D" w:rsidP="00E84E5F">
      <w:pPr>
        <w:pStyle w:val="Pidipagina"/>
        <w:tabs>
          <w:tab w:val="clear" w:pos="4819"/>
          <w:tab w:val="clear" w:pos="9638"/>
        </w:tabs>
        <w:spacing w:line="360" w:lineRule="auto"/>
        <w:ind w:right="-56"/>
        <w:jc w:val="both"/>
        <w:rPr>
          <w:rFonts w:ascii="Verdana" w:hAnsi="Verdana"/>
          <w:sz w:val="22"/>
          <w:szCs w:val="22"/>
        </w:rPr>
      </w:pPr>
      <w:bookmarkStart w:id="14" w:name="_Toc139967545"/>
      <w:r w:rsidRPr="00B20AA4">
        <w:rPr>
          <w:rFonts w:ascii="Verdana" w:hAnsi="Verdana"/>
          <w:sz w:val="22"/>
          <w:szCs w:val="22"/>
        </w:rPr>
        <w:t xml:space="preserve">Lo spaccato dimensionale presenta </w:t>
      </w:r>
      <w:r w:rsidR="00EC2AC1" w:rsidRPr="00B20AA4">
        <w:rPr>
          <w:rFonts w:ascii="Verdana" w:hAnsi="Verdana"/>
          <w:sz w:val="22"/>
          <w:szCs w:val="22"/>
        </w:rPr>
        <w:t xml:space="preserve">un quadro </w:t>
      </w:r>
      <w:r w:rsidR="00F058E8" w:rsidRPr="00B20AA4">
        <w:rPr>
          <w:rFonts w:ascii="Verdana" w:hAnsi="Verdana"/>
          <w:sz w:val="22"/>
          <w:szCs w:val="22"/>
        </w:rPr>
        <w:t xml:space="preserve">tendenziale </w:t>
      </w:r>
      <w:r w:rsidR="00E84E5F" w:rsidRPr="00B20AA4">
        <w:rPr>
          <w:rFonts w:ascii="Verdana" w:hAnsi="Verdana"/>
          <w:sz w:val="22"/>
          <w:szCs w:val="22"/>
        </w:rPr>
        <w:t>deteriorato</w:t>
      </w:r>
      <w:r w:rsidR="0094225C">
        <w:rPr>
          <w:rFonts w:ascii="Verdana" w:hAnsi="Verdana"/>
          <w:sz w:val="22"/>
          <w:szCs w:val="22"/>
        </w:rPr>
        <w:t xml:space="preserve"> per la dinamica della produzione</w:t>
      </w:r>
      <w:r w:rsidR="00B20AA4" w:rsidRPr="00B20AA4">
        <w:rPr>
          <w:rFonts w:ascii="Verdana" w:hAnsi="Verdana"/>
          <w:sz w:val="22"/>
          <w:szCs w:val="22"/>
        </w:rPr>
        <w:t>: se piccole e medie imprese sono accomunate dal segno negativo</w:t>
      </w:r>
      <w:r w:rsidR="00E84E5F" w:rsidRPr="00B20AA4">
        <w:rPr>
          <w:rFonts w:ascii="Verdana" w:hAnsi="Verdana"/>
          <w:sz w:val="22"/>
          <w:szCs w:val="22"/>
        </w:rPr>
        <w:t xml:space="preserve">, </w:t>
      </w:r>
      <w:r w:rsidR="00063285">
        <w:rPr>
          <w:rFonts w:ascii="Verdana" w:hAnsi="Verdana"/>
          <w:sz w:val="22"/>
          <w:szCs w:val="22"/>
        </w:rPr>
        <w:t xml:space="preserve">non </w:t>
      </w:r>
      <w:r w:rsidR="00B20AA4" w:rsidRPr="00B20AA4">
        <w:rPr>
          <w:rFonts w:ascii="Verdana" w:hAnsi="Verdana"/>
          <w:sz w:val="22"/>
          <w:szCs w:val="22"/>
        </w:rPr>
        <w:t xml:space="preserve">molto meglio fanno le grandi imprese </w:t>
      </w:r>
      <w:r w:rsidR="00E84E5F" w:rsidRPr="00B20AA4">
        <w:rPr>
          <w:rFonts w:ascii="Verdana" w:hAnsi="Verdana"/>
          <w:sz w:val="22"/>
          <w:szCs w:val="22"/>
        </w:rPr>
        <w:t>che registrano un</w:t>
      </w:r>
      <w:r w:rsidR="00B20AA4" w:rsidRPr="00B20AA4">
        <w:rPr>
          <w:rFonts w:ascii="Verdana" w:hAnsi="Verdana"/>
          <w:sz w:val="22"/>
          <w:szCs w:val="22"/>
        </w:rPr>
        <w:t>a crescita nulla.</w:t>
      </w:r>
      <w:r w:rsidR="00E84E5F" w:rsidRPr="00B20AA4">
        <w:rPr>
          <w:rFonts w:ascii="Verdana" w:hAnsi="Verdana"/>
          <w:sz w:val="22"/>
          <w:szCs w:val="22"/>
        </w:rPr>
        <w:t xml:space="preserve"> </w:t>
      </w:r>
      <w:r w:rsidR="004628F6">
        <w:rPr>
          <w:rFonts w:ascii="Verdana" w:hAnsi="Verdana"/>
          <w:sz w:val="22"/>
          <w:szCs w:val="22"/>
        </w:rPr>
        <w:t>La dimensione d’impresa è rilevante per individuare la causa principale dell’andamento negativo della produzione. Per le piccole imprese</w:t>
      </w:r>
      <w:r w:rsidR="00DE620D">
        <w:rPr>
          <w:rFonts w:ascii="Verdana" w:hAnsi="Verdana"/>
          <w:sz w:val="22"/>
          <w:szCs w:val="22"/>
        </w:rPr>
        <w:t>,</w:t>
      </w:r>
      <w:r w:rsidR="004628F6">
        <w:rPr>
          <w:rFonts w:ascii="Verdana" w:hAnsi="Verdana"/>
          <w:sz w:val="22"/>
          <w:szCs w:val="22"/>
        </w:rPr>
        <w:t xml:space="preserve"> per le quali l’esposizione sui mercati esteri è ridotta (23,3% la quota di fatturato estero), è il mercato interno a determinare il risultato e a porre le basi per un ulteriore contrazione (-1,8% gli ordini interni). Viceversa, per le grandi imprese più esposte sui mercati internazionali (54,1% la quota del fatturato estero)</w:t>
      </w:r>
      <w:r w:rsidR="00DE620D">
        <w:rPr>
          <w:rFonts w:ascii="Verdana" w:hAnsi="Verdana"/>
          <w:sz w:val="22"/>
          <w:szCs w:val="22"/>
        </w:rPr>
        <w:t>,</w:t>
      </w:r>
      <w:r w:rsidR="004628F6">
        <w:rPr>
          <w:rFonts w:ascii="Verdana" w:hAnsi="Verdana"/>
          <w:sz w:val="22"/>
          <w:szCs w:val="22"/>
        </w:rPr>
        <w:t xml:space="preserve"> sono il rallentamento del commercio internazionale e, </w:t>
      </w:r>
      <w:r w:rsidR="00514F0D">
        <w:rPr>
          <w:rFonts w:ascii="Verdana" w:hAnsi="Verdana"/>
          <w:sz w:val="22"/>
          <w:szCs w:val="22"/>
        </w:rPr>
        <w:t>in particolare,</w:t>
      </w:r>
      <w:r w:rsidR="004628F6">
        <w:rPr>
          <w:rFonts w:ascii="Verdana" w:hAnsi="Verdana"/>
          <w:sz w:val="22"/>
          <w:szCs w:val="22"/>
        </w:rPr>
        <w:t xml:space="preserve"> le difficoltà della Germania </w:t>
      </w:r>
      <w:r w:rsidR="00514F0D">
        <w:rPr>
          <w:rFonts w:ascii="Verdana" w:hAnsi="Verdana"/>
          <w:sz w:val="22"/>
          <w:szCs w:val="22"/>
        </w:rPr>
        <w:t>a fare</w:t>
      </w:r>
      <w:r w:rsidR="004628F6">
        <w:rPr>
          <w:rFonts w:ascii="Verdana" w:hAnsi="Verdana"/>
          <w:sz w:val="22"/>
          <w:szCs w:val="22"/>
        </w:rPr>
        <w:t xml:space="preserve"> ombra sul prossimo trimestre (-1,3% gli ordini esteri</w:t>
      </w:r>
      <w:r w:rsidR="00144857">
        <w:rPr>
          <w:rFonts w:ascii="Verdana" w:hAnsi="Verdana"/>
          <w:sz w:val="22"/>
          <w:szCs w:val="22"/>
        </w:rPr>
        <w:t>).</w:t>
      </w:r>
    </w:p>
    <w:p w:rsidR="00144857" w:rsidRDefault="00144857" w:rsidP="00E84E5F">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L’effetto scorte non sembra poter essere d’aiuto in questa fase</w:t>
      </w:r>
      <w:r w:rsidR="009E1417">
        <w:rPr>
          <w:rFonts w:ascii="Verdana" w:hAnsi="Verdana"/>
          <w:sz w:val="22"/>
          <w:szCs w:val="22"/>
        </w:rPr>
        <w:t xml:space="preserve"> incerta</w:t>
      </w:r>
      <w:r>
        <w:rPr>
          <w:rFonts w:ascii="Verdana" w:hAnsi="Verdana"/>
          <w:sz w:val="22"/>
          <w:szCs w:val="22"/>
        </w:rPr>
        <w:t xml:space="preserve">. I segnali di scarsità provenienti dalle piccole imprese </w:t>
      </w:r>
      <w:r w:rsidR="00DE620D">
        <w:rPr>
          <w:rFonts w:ascii="Verdana" w:hAnsi="Verdana"/>
          <w:sz w:val="22"/>
          <w:szCs w:val="22"/>
        </w:rPr>
        <w:t xml:space="preserve">(-2,7% il saldo) </w:t>
      </w:r>
      <w:r>
        <w:rPr>
          <w:rFonts w:ascii="Verdana" w:hAnsi="Verdana"/>
          <w:sz w:val="22"/>
          <w:szCs w:val="22"/>
        </w:rPr>
        <w:t>devono scontare una quota di imprese che non tiene scorte pari al 26%</w:t>
      </w:r>
      <w:r w:rsidR="009E1417">
        <w:rPr>
          <w:rFonts w:ascii="Verdana" w:hAnsi="Verdana"/>
          <w:sz w:val="22"/>
          <w:szCs w:val="22"/>
        </w:rPr>
        <w:t>,</w:t>
      </w:r>
      <w:r>
        <w:rPr>
          <w:rFonts w:ascii="Verdana" w:hAnsi="Verdana"/>
          <w:sz w:val="22"/>
          <w:szCs w:val="22"/>
        </w:rPr>
        <w:t xml:space="preserve"> </w:t>
      </w:r>
      <w:r w:rsidR="009E1417">
        <w:rPr>
          <w:rFonts w:ascii="Verdana" w:hAnsi="Verdana"/>
          <w:sz w:val="22"/>
          <w:szCs w:val="22"/>
        </w:rPr>
        <w:t>con</w:t>
      </w:r>
      <w:r>
        <w:rPr>
          <w:rFonts w:ascii="Verdana" w:hAnsi="Verdana"/>
          <w:sz w:val="22"/>
          <w:szCs w:val="22"/>
        </w:rPr>
        <w:t xml:space="preserve"> il 60% di imprese che dichiara di avere scorte adeguate. Le medie e grandi imprese mostrano invece segnali di esuberanza</w:t>
      </w:r>
      <w:r w:rsidR="00DE620D">
        <w:rPr>
          <w:rFonts w:ascii="Verdana" w:hAnsi="Verdana"/>
          <w:sz w:val="22"/>
          <w:szCs w:val="22"/>
        </w:rPr>
        <w:t>,</w:t>
      </w:r>
      <w:r>
        <w:rPr>
          <w:rFonts w:ascii="Verdana" w:hAnsi="Verdana"/>
          <w:sz w:val="22"/>
          <w:szCs w:val="22"/>
        </w:rPr>
        <w:t xml:space="preserve"> con quote ancora maggiori di imprese che ritengono le scorte adeguate (71% e 84% rispettivamente).</w:t>
      </w:r>
    </w:p>
    <w:p w:rsidR="00576C7E" w:rsidRDefault="009A5B61" w:rsidP="00081136">
      <w:pPr>
        <w:pStyle w:val="Pidipagina"/>
        <w:tabs>
          <w:tab w:val="clear" w:pos="4819"/>
          <w:tab w:val="clear" w:pos="9638"/>
        </w:tabs>
        <w:spacing w:line="360" w:lineRule="auto"/>
        <w:ind w:right="-56"/>
        <w:jc w:val="both"/>
      </w:pPr>
      <w:r w:rsidRPr="00C94BFB">
        <w:br w:type="page"/>
      </w:r>
      <w:bookmarkStart w:id="15" w:name="_Toc519784538"/>
      <w:bookmarkStart w:id="16" w:name="_Toc188872005"/>
      <w:r w:rsidR="00576C7E">
        <w:lastRenderedPageBreak/>
        <w:t xml:space="preserve">Grafico </w:t>
      </w:r>
      <w:r w:rsidR="00576C7E">
        <w:rPr>
          <w:noProof/>
        </w:rPr>
        <w:fldChar w:fldCharType="begin"/>
      </w:r>
      <w:r w:rsidR="00576C7E">
        <w:rPr>
          <w:noProof/>
        </w:rPr>
        <w:instrText xml:space="preserve"> SEQ Grafico \* ARABIC </w:instrText>
      </w:r>
      <w:r w:rsidR="00576C7E">
        <w:rPr>
          <w:noProof/>
        </w:rPr>
        <w:fldChar w:fldCharType="separate"/>
      </w:r>
      <w:r w:rsidR="004F5D65">
        <w:rPr>
          <w:noProof/>
        </w:rPr>
        <w:t>1</w:t>
      </w:r>
      <w:r w:rsidR="00576C7E">
        <w:rPr>
          <w:noProof/>
        </w:rPr>
        <w:fldChar w:fldCharType="end"/>
      </w:r>
      <w:r w:rsidR="00576C7E">
        <w:t xml:space="preserve"> – Variazione produzione industriale per settore</w:t>
      </w:r>
      <w:bookmarkEnd w:id="15"/>
    </w:p>
    <w:p w:rsidR="00576C7E" w:rsidRDefault="00092193" w:rsidP="00092193">
      <w:pPr>
        <w:jc w:val="center"/>
      </w:pPr>
      <w:r>
        <w:rPr>
          <w:noProof/>
        </w:rPr>
        <w:drawing>
          <wp:inline distT="0" distB="0" distL="0" distR="0" wp14:anchorId="6FB52688" wp14:editId="13942D83">
            <wp:extent cx="5908040" cy="3822065"/>
            <wp:effectExtent l="0" t="0" r="0" b="698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3822065"/>
                    </a:xfrm>
                    <a:prstGeom prst="rect">
                      <a:avLst/>
                    </a:prstGeom>
                  </pic:spPr>
                </pic:pic>
              </a:graphicData>
            </a:graphic>
          </wp:inline>
        </w:drawing>
      </w:r>
    </w:p>
    <w:p w:rsidR="00576C7E" w:rsidRDefault="00576C7E" w:rsidP="00576C7E">
      <w:pPr>
        <w:spacing w:line="360" w:lineRule="auto"/>
        <w:ind w:left="567" w:right="567"/>
        <w:rPr>
          <w:rFonts w:ascii="Verdana" w:hAnsi="Verdana"/>
          <w:b/>
          <w:sz w:val="24"/>
          <w:szCs w:val="24"/>
        </w:rPr>
      </w:pPr>
    </w:p>
    <w:p w:rsidR="00576C7E" w:rsidRDefault="00576C7E" w:rsidP="00576C7E">
      <w:pPr>
        <w:spacing w:line="360" w:lineRule="auto"/>
        <w:ind w:left="567" w:right="567"/>
        <w:jc w:val="both"/>
        <w:rPr>
          <w:rFonts w:ascii="Verdana" w:hAnsi="Verdana"/>
          <w:b/>
          <w:sz w:val="24"/>
          <w:szCs w:val="24"/>
        </w:rPr>
      </w:pPr>
    </w:p>
    <w:p w:rsidR="00576C7E" w:rsidRPr="00DB21FC" w:rsidRDefault="00576C7E" w:rsidP="00576C7E">
      <w:pPr>
        <w:spacing w:line="360" w:lineRule="auto"/>
        <w:ind w:left="567" w:right="567"/>
        <w:jc w:val="both"/>
        <w:rPr>
          <w:rFonts w:ascii="Verdana" w:hAnsi="Verdana"/>
          <w:b/>
          <w:sz w:val="24"/>
          <w:szCs w:val="24"/>
        </w:rPr>
      </w:pPr>
      <w:r w:rsidRPr="00DB21FC">
        <w:rPr>
          <w:rFonts w:ascii="Verdana" w:hAnsi="Verdana"/>
          <w:b/>
          <w:sz w:val="24"/>
          <w:szCs w:val="24"/>
        </w:rPr>
        <w:t>Commento:</w:t>
      </w:r>
    </w:p>
    <w:p w:rsidR="00676C8E" w:rsidRDefault="00291DBD" w:rsidP="00033279">
      <w:pPr>
        <w:spacing w:line="360" w:lineRule="auto"/>
        <w:ind w:right="-52"/>
        <w:jc w:val="both"/>
        <w:rPr>
          <w:rFonts w:ascii="Verdana" w:hAnsi="Verdana"/>
          <w:sz w:val="22"/>
          <w:szCs w:val="22"/>
        </w:rPr>
      </w:pPr>
      <w:r>
        <w:rPr>
          <w:rFonts w:ascii="Verdana" w:hAnsi="Verdana"/>
          <w:sz w:val="22"/>
          <w:szCs w:val="22"/>
        </w:rPr>
        <w:t>In quest’ultimo trimestre prevalgono i settori con segno negativo. Su tutti spicca l’abbigliamento, settore che non si è mai ripreso completamente dai periodi di crisi che hanno caratterizzato gli ultimi vent’anni</w:t>
      </w:r>
      <w:r w:rsidR="003E45C9">
        <w:rPr>
          <w:rFonts w:ascii="Verdana" w:hAnsi="Verdana"/>
          <w:sz w:val="22"/>
          <w:szCs w:val="22"/>
        </w:rPr>
        <w:t>,</w:t>
      </w:r>
      <w:r w:rsidR="009157C3">
        <w:rPr>
          <w:rFonts w:ascii="Verdana" w:hAnsi="Verdana"/>
          <w:sz w:val="22"/>
          <w:szCs w:val="22"/>
        </w:rPr>
        <w:t xml:space="preserve"> e che è rimasto più dipendente dalla domanda interna</w:t>
      </w:r>
      <w:r>
        <w:rPr>
          <w:rFonts w:ascii="Verdana" w:hAnsi="Verdana"/>
          <w:sz w:val="22"/>
          <w:szCs w:val="22"/>
        </w:rPr>
        <w:t>.</w:t>
      </w:r>
      <w:r w:rsidR="009157C3">
        <w:rPr>
          <w:rFonts w:ascii="Verdana" w:hAnsi="Verdana"/>
          <w:sz w:val="22"/>
          <w:szCs w:val="22"/>
        </w:rPr>
        <w:t xml:space="preserve"> Ad esso si associano il settore delle pelli-calzature e, segnale rilevante, anche il settore della meccanica. </w:t>
      </w:r>
      <w:r w:rsidR="00144AC6">
        <w:rPr>
          <w:rFonts w:ascii="Verdana" w:hAnsi="Verdana"/>
          <w:sz w:val="22"/>
          <w:szCs w:val="22"/>
        </w:rPr>
        <w:t xml:space="preserve">L’andamento negativo della meccanica può essere spiegato sia dal rallentamento degli investimenti nazionali in macchinari, che avevano raggiunto un punto di massimo grazie agli incentivi degli scorsi anni, sia dal rallentamento a livello internazionale legato anche alle difficoltà del settore automobilistico. </w:t>
      </w:r>
      <w:r w:rsidR="009157C3">
        <w:rPr>
          <w:rFonts w:ascii="Verdana" w:hAnsi="Verdana"/>
          <w:sz w:val="22"/>
          <w:szCs w:val="22"/>
        </w:rPr>
        <w:t>Seguono: il tessile</w:t>
      </w:r>
      <w:r w:rsidR="00144AC6">
        <w:rPr>
          <w:rFonts w:ascii="Verdana" w:hAnsi="Verdana"/>
          <w:sz w:val="22"/>
          <w:szCs w:val="22"/>
        </w:rPr>
        <w:t>,</w:t>
      </w:r>
      <w:r w:rsidR="009157C3">
        <w:rPr>
          <w:rFonts w:ascii="Verdana" w:hAnsi="Verdana"/>
          <w:sz w:val="22"/>
          <w:szCs w:val="22"/>
        </w:rPr>
        <w:t xml:space="preserve"> terzo elemento del comparto moda; i mezzi di trasporto; la carta stampa e le manifatturiere varie.</w:t>
      </w:r>
    </w:p>
    <w:p w:rsidR="00C050DF" w:rsidRPr="00B73B77" w:rsidRDefault="00C050DF" w:rsidP="00033279">
      <w:pPr>
        <w:spacing w:line="360" w:lineRule="auto"/>
        <w:ind w:right="-52"/>
        <w:jc w:val="both"/>
        <w:rPr>
          <w:rFonts w:ascii="Verdana" w:hAnsi="Verdana"/>
          <w:sz w:val="22"/>
          <w:szCs w:val="22"/>
        </w:rPr>
      </w:pPr>
      <w:r>
        <w:rPr>
          <w:rFonts w:ascii="Verdana" w:hAnsi="Verdana"/>
          <w:sz w:val="22"/>
          <w:szCs w:val="22"/>
        </w:rPr>
        <w:t>I settori della gomma-plastica e dei minerali non metalliferi sono molto prossimi alla variazione nulla mentre rimangono in crescita significativa la chimica, la siderurgia, gli alimentari e il legno-mobilio.</w:t>
      </w:r>
    </w:p>
    <w:p w:rsidR="00576C7E" w:rsidRDefault="00576C7E" w:rsidP="00576C7E">
      <w:r>
        <w:br w:type="page"/>
      </w:r>
    </w:p>
    <w:p w:rsidR="005504FA" w:rsidRPr="00E8436F" w:rsidRDefault="00932D24" w:rsidP="00E8436F">
      <w:pPr>
        <w:pStyle w:val="Titolo1"/>
      </w:pPr>
      <w:bookmarkStart w:id="17" w:name="_Toc519784539"/>
      <w:r w:rsidRPr="00E8436F">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4F5D65">
        <w:rPr>
          <w:noProof/>
        </w:rPr>
        <w:t>5</w:t>
      </w:r>
      <w:r w:rsidR="00651D3B">
        <w:rPr>
          <w:noProof/>
        </w:rPr>
        <w:fldChar w:fldCharType="end"/>
      </w:r>
      <w:r w:rsidR="005504FA" w:rsidRPr="00E8436F">
        <w:t xml:space="preserve">: Variazioni </w:t>
      </w:r>
      <w:proofErr w:type="gramStart"/>
      <w:r w:rsidR="005504FA" w:rsidRPr="00E8436F">
        <w:t>tendenziali</w:t>
      </w:r>
      <w:r w:rsidR="00AF0E7E" w:rsidRPr="00AF0E7E">
        <w:rPr>
          <w:vertAlign w:val="superscript"/>
        </w:rPr>
        <w:t>(</w:t>
      </w:r>
      <w:proofErr w:type="gramEnd"/>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4"/>
      <w:bookmarkEnd w:id="16"/>
      <w:bookmarkEnd w:id="17"/>
    </w:p>
    <w:p w:rsidR="009D576B" w:rsidRPr="00B476DF" w:rsidRDefault="00AE4EE8" w:rsidP="009D576B">
      <w:pPr>
        <w:rPr>
          <w:rFonts w:ascii="Verdana" w:hAnsi="Verdana"/>
          <w:sz w:val="24"/>
          <w:szCs w:val="24"/>
        </w:rPr>
      </w:pPr>
      <w:r>
        <w:rPr>
          <w:rFonts w:ascii="Verdana" w:hAnsi="Verdana"/>
          <w:sz w:val="24"/>
          <w:szCs w:val="24"/>
        </w:rPr>
        <w:t>Secondo</w:t>
      </w:r>
      <w:r w:rsidR="00BF6DDF">
        <w:rPr>
          <w:rFonts w:ascii="Verdana" w:hAnsi="Verdana"/>
          <w:sz w:val="24"/>
          <w:szCs w:val="24"/>
        </w:rPr>
        <w:t xml:space="preserve"> </w:t>
      </w:r>
      <w:r w:rsidR="00696167">
        <w:rPr>
          <w:rFonts w:ascii="Verdana" w:hAnsi="Verdana"/>
          <w:sz w:val="24"/>
          <w:szCs w:val="24"/>
        </w:rPr>
        <w:t>trimestre 2019</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E6B26" w:rsidRPr="00EB60DF" w:rsidRDefault="00AE6B26" w:rsidP="00AE6B26">
            <w:pPr>
              <w:ind w:right="-235"/>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C566AA" w:rsidRPr="00EB60DF" w:rsidTr="003A129B">
        <w:trPr>
          <w:trHeight w:val="240"/>
        </w:trPr>
        <w:tc>
          <w:tcPr>
            <w:tcW w:w="1668" w:type="dxa"/>
            <w:shd w:val="pct5" w:color="000000" w:fill="FFFFFF"/>
            <w:hideMark/>
          </w:tcPr>
          <w:p w:rsidR="00C566AA" w:rsidRPr="008F7CE1" w:rsidRDefault="00C566AA" w:rsidP="00C566AA">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-0,9</w:t>
            </w:r>
          </w:p>
        </w:tc>
        <w:tc>
          <w:tcPr>
            <w:tcW w:w="1026"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76,0</w:t>
            </w:r>
          </w:p>
        </w:tc>
        <w:tc>
          <w:tcPr>
            <w:tcW w:w="1134"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1,8</w:t>
            </w:r>
          </w:p>
        </w:tc>
        <w:tc>
          <w:tcPr>
            <w:tcW w:w="883"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-0,1</w:t>
            </w:r>
          </w:p>
        </w:tc>
        <w:tc>
          <w:tcPr>
            <w:tcW w:w="849"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0,3</w:t>
            </w:r>
          </w:p>
        </w:tc>
        <w:tc>
          <w:tcPr>
            <w:tcW w:w="1137"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38,7</w:t>
            </w:r>
          </w:p>
        </w:tc>
        <w:tc>
          <w:tcPr>
            <w:tcW w:w="1011"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63,6</w:t>
            </w:r>
          </w:p>
        </w:tc>
        <w:tc>
          <w:tcPr>
            <w:tcW w:w="954"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-0,5</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74,8</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2,6</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-0,4</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-2,5</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37,6</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51,5</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3,5</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 xml:space="preserve">Min. non </w:t>
            </w:r>
            <w:proofErr w:type="spellStart"/>
            <w:r w:rsidRPr="00EB60DF">
              <w:rPr>
                <w:rFonts w:ascii="Verdana" w:hAnsi="Verdana" w:cs="Arial"/>
                <w:sz w:val="16"/>
                <w:szCs w:val="16"/>
              </w:rPr>
              <w:t>metall</w:t>
            </w:r>
            <w:proofErr w:type="spellEnd"/>
            <w:r w:rsidRPr="00EB60DF">
              <w:rPr>
                <w:rFonts w:ascii="Verdana" w:hAnsi="Verdana" w:cs="Arial"/>
                <w:sz w:val="16"/>
                <w:szCs w:val="16"/>
              </w:rPr>
              <w:t>.</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0,1</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78,3</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3,8</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-1,9</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18,3</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50,5</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0,0</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0,5</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75,0</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2,4</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3,5</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5,5</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41,4</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44,3</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-1,6</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76,7</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1,9</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-1,8</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43,3</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75,6</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-1,3</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 xml:space="preserve">Mezzi </w:t>
            </w:r>
            <w:proofErr w:type="spellStart"/>
            <w:r w:rsidRPr="00EB60DF">
              <w:rPr>
                <w:rFonts w:ascii="Verdana" w:hAnsi="Verdana" w:cs="Arial"/>
                <w:sz w:val="16"/>
                <w:szCs w:val="16"/>
              </w:rPr>
              <w:t>trasp</w:t>
            </w:r>
            <w:proofErr w:type="spellEnd"/>
            <w:r w:rsidRPr="00EB60DF">
              <w:rPr>
                <w:rFonts w:ascii="Verdana" w:hAnsi="Verdana" w:cs="Arial"/>
                <w:sz w:val="16"/>
                <w:szCs w:val="16"/>
              </w:rPr>
              <w:t>.</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-1,2</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73,7</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2,6</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-2,0</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58,5</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72,9</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2,2</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1,7</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77,1</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3,4</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3,8</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2,7</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18,0</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59,4</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-6,4</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-1,3</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71,5</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-1,4</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-1,8</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31,5</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43,2</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-2,7</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69,2</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-0,8</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0,4</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3,7</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52,1</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104,5</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5,0</w:t>
            </w:r>
          </w:p>
        </w:tc>
      </w:tr>
      <w:tr w:rsidR="00C566AA" w:rsidRPr="00EB60DF" w:rsidTr="003A129B">
        <w:trPr>
          <w:trHeight w:val="240"/>
        </w:trPr>
        <w:tc>
          <w:tcPr>
            <w:tcW w:w="1668" w:type="dxa"/>
            <w:shd w:val="pct20" w:color="000000" w:fill="FFFFFF"/>
            <w:hideMark/>
          </w:tcPr>
          <w:p w:rsidR="00C566AA" w:rsidRPr="00FB312B" w:rsidRDefault="00C566AA" w:rsidP="00C566AA">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-9,7</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74,9</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-0,2</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1,7</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39,3</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64,1</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0,0</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1,7</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79,7</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3,1</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0,1</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6,0</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38,3</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66,7</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1,9</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-0,9</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76,3</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0,0</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0,7</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15,7</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39,9</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-3,4</w:t>
            </w:r>
          </w:p>
        </w:tc>
      </w:tr>
      <w:tr w:rsidR="00C566AA" w:rsidRPr="00EB60DF" w:rsidTr="003A129B">
        <w:trPr>
          <w:trHeight w:val="240"/>
        </w:trPr>
        <w:tc>
          <w:tcPr>
            <w:tcW w:w="1668" w:type="dxa"/>
            <w:shd w:val="pct5"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0,1</w:t>
            </w:r>
          </w:p>
        </w:tc>
        <w:tc>
          <w:tcPr>
            <w:tcW w:w="102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76,8</w:t>
            </w:r>
          </w:p>
        </w:tc>
        <w:tc>
          <w:tcPr>
            <w:tcW w:w="113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-1,2</w:t>
            </w:r>
          </w:p>
        </w:tc>
        <w:tc>
          <w:tcPr>
            <w:tcW w:w="883"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0,2</w:t>
            </w:r>
          </w:p>
        </w:tc>
        <w:tc>
          <w:tcPr>
            <w:tcW w:w="84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0,1</w:t>
            </w:r>
          </w:p>
        </w:tc>
        <w:tc>
          <w:tcPr>
            <w:tcW w:w="1137"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37,3</w:t>
            </w:r>
          </w:p>
        </w:tc>
        <w:tc>
          <w:tcPr>
            <w:tcW w:w="1011"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52,8</w:t>
            </w:r>
          </w:p>
        </w:tc>
        <w:tc>
          <w:tcPr>
            <w:tcW w:w="954"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1,5</w:t>
            </w:r>
          </w:p>
        </w:tc>
      </w:tr>
      <w:tr w:rsidR="00C566AA" w:rsidRPr="00EB60DF" w:rsidTr="003A129B">
        <w:trPr>
          <w:trHeight w:val="240"/>
        </w:trPr>
        <w:tc>
          <w:tcPr>
            <w:tcW w:w="1668" w:type="dxa"/>
            <w:shd w:val="pct20" w:color="000000" w:fill="FFFFFF"/>
            <w:hideMark/>
          </w:tcPr>
          <w:p w:rsidR="00C566AA" w:rsidRPr="00EB60DF" w:rsidRDefault="00C566AA" w:rsidP="00C566AA">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-0,8</w:t>
            </w:r>
          </w:p>
        </w:tc>
        <w:tc>
          <w:tcPr>
            <w:tcW w:w="102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75,8</w:t>
            </w:r>
          </w:p>
        </w:tc>
        <w:tc>
          <w:tcPr>
            <w:tcW w:w="113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1,1</w:t>
            </w:r>
          </w:p>
        </w:tc>
        <w:tc>
          <w:tcPr>
            <w:tcW w:w="883"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5,0</w:t>
            </w:r>
          </w:p>
        </w:tc>
        <w:tc>
          <w:tcPr>
            <w:tcW w:w="84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c>
          <w:tcPr>
            <w:tcW w:w="1137"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36,5</w:t>
            </w:r>
          </w:p>
        </w:tc>
        <w:tc>
          <w:tcPr>
            <w:tcW w:w="1011"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57,6</w:t>
            </w:r>
          </w:p>
        </w:tc>
        <w:tc>
          <w:tcPr>
            <w:tcW w:w="954"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-2,7</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803ADC" w:rsidRDefault="00803ADC" w:rsidP="007C5433">
      <w:pPr>
        <w:spacing w:line="360" w:lineRule="auto"/>
        <w:ind w:right="567"/>
        <w:jc w:val="both"/>
        <w:rPr>
          <w:rFonts w:ascii="Verdana" w:hAnsi="Verdana"/>
          <w:b/>
          <w:sz w:val="24"/>
          <w:szCs w:val="24"/>
        </w:rPr>
      </w:pPr>
    </w:p>
    <w:p w:rsidR="00F93C6F" w:rsidRPr="007E28C6" w:rsidRDefault="00F93C6F" w:rsidP="00F93C6F">
      <w:pPr>
        <w:spacing w:line="360" w:lineRule="auto"/>
        <w:ind w:left="567" w:right="567"/>
        <w:jc w:val="both"/>
        <w:rPr>
          <w:rFonts w:ascii="Verdana" w:hAnsi="Verdana"/>
          <w:b/>
          <w:sz w:val="24"/>
          <w:szCs w:val="24"/>
        </w:rPr>
      </w:pPr>
      <w:r w:rsidRPr="007E28C6">
        <w:rPr>
          <w:rFonts w:ascii="Verdana" w:hAnsi="Verdana"/>
          <w:b/>
          <w:sz w:val="24"/>
          <w:szCs w:val="24"/>
        </w:rPr>
        <w:t>Commento:</w:t>
      </w:r>
    </w:p>
    <w:p w:rsidR="00AE6B26" w:rsidRDefault="00105AB7" w:rsidP="00BF3EE4">
      <w:pPr>
        <w:pStyle w:val="Pidipagina"/>
        <w:spacing w:line="360" w:lineRule="auto"/>
        <w:ind w:right="-56"/>
        <w:jc w:val="both"/>
        <w:rPr>
          <w:rFonts w:ascii="Verdana" w:hAnsi="Verdana"/>
          <w:sz w:val="22"/>
          <w:szCs w:val="22"/>
        </w:rPr>
      </w:pPr>
      <w:r w:rsidRPr="00803ADC">
        <w:rPr>
          <w:rFonts w:ascii="Verdana" w:hAnsi="Verdana"/>
          <w:sz w:val="22"/>
          <w:szCs w:val="22"/>
        </w:rPr>
        <w:t>L</w:t>
      </w:r>
      <w:r w:rsidR="00C6115F" w:rsidRPr="00803ADC">
        <w:rPr>
          <w:rFonts w:ascii="Verdana" w:hAnsi="Verdana"/>
          <w:sz w:val="22"/>
          <w:szCs w:val="22"/>
        </w:rPr>
        <w:t>a</w:t>
      </w:r>
      <w:bookmarkStart w:id="18" w:name="_Toc442173055"/>
      <w:bookmarkStart w:id="19" w:name="_Toc473641454"/>
      <w:r w:rsidR="00AE6B26" w:rsidRPr="00803ADC">
        <w:rPr>
          <w:rFonts w:ascii="Verdana" w:hAnsi="Verdana"/>
          <w:sz w:val="22"/>
          <w:szCs w:val="22"/>
        </w:rPr>
        <w:t xml:space="preserve"> chimica</w:t>
      </w:r>
      <w:r w:rsidR="00803ADC" w:rsidRPr="00803ADC">
        <w:rPr>
          <w:rFonts w:ascii="Verdana" w:hAnsi="Verdana"/>
          <w:sz w:val="22"/>
          <w:szCs w:val="22"/>
        </w:rPr>
        <w:t xml:space="preserve">, gli alimentari e </w:t>
      </w:r>
      <w:r w:rsidR="00803ADC">
        <w:rPr>
          <w:rFonts w:ascii="Verdana" w:hAnsi="Verdana"/>
          <w:sz w:val="22"/>
          <w:szCs w:val="22"/>
        </w:rPr>
        <w:t>il legno-mobilio sono gli unici settori a presentare un quadro complessivo ancora positivo con livelli produttivi, fatturato e ordini ancora in crescita.</w:t>
      </w:r>
      <w:r w:rsidR="009348FB">
        <w:rPr>
          <w:rFonts w:ascii="Verdana" w:hAnsi="Verdana"/>
          <w:sz w:val="22"/>
          <w:szCs w:val="22"/>
        </w:rPr>
        <w:t xml:space="preserve"> </w:t>
      </w:r>
      <w:r w:rsidR="00803ADC">
        <w:rPr>
          <w:rFonts w:ascii="Verdana" w:hAnsi="Verdana"/>
          <w:sz w:val="22"/>
          <w:szCs w:val="22"/>
        </w:rPr>
        <w:t>Il fatturato è in calo pe</w:t>
      </w:r>
      <w:r w:rsidR="009348FB">
        <w:rPr>
          <w:rFonts w:ascii="Verdana" w:hAnsi="Verdana"/>
          <w:sz w:val="22"/>
          <w:szCs w:val="22"/>
        </w:rPr>
        <w:t xml:space="preserve">r le pelli-calzature (-0,8%) e </w:t>
      </w:r>
      <w:r w:rsidR="00803ADC">
        <w:rPr>
          <w:rFonts w:ascii="Verdana" w:hAnsi="Verdana"/>
          <w:sz w:val="22"/>
          <w:szCs w:val="22"/>
        </w:rPr>
        <w:t xml:space="preserve">la gomma-plastica </w:t>
      </w:r>
      <w:r w:rsidR="00CB2F9E">
        <w:rPr>
          <w:rFonts w:ascii="Verdana" w:hAnsi="Verdana"/>
          <w:sz w:val="22"/>
          <w:szCs w:val="22"/>
        </w:rPr>
        <w:br/>
      </w:r>
      <w:r w:rsidR="00803ADC">
        <w:rPr>
          <w:rFonts w:ascii="Verdana" w:hAnsi="Verdana"/>
          <w:sz w:val="22"/>
          <w:szCs w:val="22"/>
        </w:rPr>
        <w:t>(-1,2%). Meccanica (-1,8%) e tessile (-1,4%) registrano la maggior contrazione degli ordini interni mentre siderurgia (-2,5%) e mezzi di trasporto (-2,0%) risentono maggiormente dell’andamento negativo dei mercati esteri.</w:t>
      </w:r>
      <w:r w:rsidR="009348FB">
        <w:rPr>
          <w:rFonts w:ascii="Verdana" w:hAnsi="Verdana"/>
          <w:sz w:val="22"/>
          <w:szCs w:val="22"/>
        </w:rPr>
        <w:t xml:space="preserve"> </w:t>
      </w:r>
      <w:r w:rsidR="003B12AC">
        <w:rPr>
          <w:rFonts w:ascii="Verdana" w:hAnsi="Verdana"/>
          <w:sz w:val="22"/>
          <w:szCs w:val="22"/>
        </w:rPr>
        <w:t>I settori più esposti all’estero rimangono i mezzi di trasporto (59% la quota di fatturato estero), il pelli-calzature (52%), la meccanica (43%) e la chimica (41%). I meno espo</w:t>
      </w:r>
      <w:r w:rsidR="00CB2F9E">
        <w:rPr>
          <w:rFonts w:ascii="Verdana" w:hAnsi="Verdana"/>
          <w:sz w:val="22"/>
          <w:szCs w:val="22"/>
        </w:rPr>
        <w:t>s</w:t>
      </w:r>
      <w:r w:rsidR="003B12AC">
        <w:rPr>
          <w:rFonts w:ascii="Verdana" w:hAnsi="Verdana"/>
          <w:sz w:val="22"/>
          <w:szCs w:val="22"/>
        </w:rPr>
        <w:t>ti sono: la carta-stampa (16%), l’alimentare (18%) e i minerali non metalliferi (18%).</w:t>
      </w:r>
    </w:p>
    <w:p w:rsidR="00144AC6" w:rsidRDefault="00144AC6" w:rsidP="00BF3EE4">
      <w:pPr>
        <w:pStyle w:val="Pidipagina"/>
        <w:spacing w:line="360" w:lineRule="auto"/>
        <w:ind w:right="-56"/>
        <w:jc w:val="both"/>
        <w:rPr>
          <w:rFonts w:ascii="Verdana" w:hAnsi="Verdana"/>
          <w:sz w:val="22"/>
          <w:szCs w:val="22"/>
        </w:rPr>
      </w:pPr>
    </w:p>
    <w:p w:rsidR="00144AC6" w:rsidRDefault="00144AC6" w:rsidP="00BF3EE4">
      <w:pPr>
        <w:pStyle w:val="Pidipagina"/>
        <w:spacing w:line="360" w:lineRule="auto"/>
        <w:ind w:right="-56"/>
        <w:jc w:val="both"/>
        <w:rPr>
          <w:rFonts w:ascii="Verdana" w:hAnsi="Verdana"/>
          <w:sz w:val="22"/>
          <w:szCs w:val="22"/>
        </w:rPr>
      </w:pPr>
    </w:p>
    <w:p w:rsidR="00B511BA" w:rsidRPr="00EB60DF" w:rsidRDefault="00932D24" w:rsidP="00B012FD">
      <w:pPr>
        <w:pStyle w:val="Titolo1"/>
      </w:pPr>
      <w:bookmarkStart w:id="20" w:name="_Toc519784540"/>
      <w:bookmarkEnd w:id="18"/>
      <w:bookmarkEnd w:id="19"/>
      <w:r>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4F5D65">
        <w:rPr>
          <w:noProof/>
        </w:rPr>
        <w:t>6</w:t>
      </w:r>
      <w:r w:rsidR="00651D3B">
        <w:rPr>
          <w:noProof/>
        </w:rPr>
        <w:fldChar w:fldCharType="end"/>
      </w:r>
      <w:r w:rsidR="001368CE">
        <w:t xml:space="preserve">: Variazioni </w:t>
      </w:r>
      <w:proofErr w:type="gramStart"/>
      <w:r w:rsidR="001368CE">
        <w:t>tendenziali</w:t>
      </w:r>
      <w:r w:rsidR="00AF0E7E" w:rsidRPr="00AF0E7E">
        <w:rPr>
          <w:vertAlign w:val="superscript"/>
        </w:rPr>
        <w:t>(</w:t>
      </w:r>
      <w:proofErr w:type="gramEnd"/>
      <w:r w:rsidR="00AF0E7E" w:rsidRPr="00AF0E7E">
        <w:rPr>
          <w:vertAlign w:val="superscript"/>
        </w:rPr>
        <w:t>1)</w:t>
      </w:r>
      <w:r w:rsidR="00B511BA" w:rsidRPr="00EB60DF">
        <w:t xml:space="preserve"> per destinazione economica dei beni</w:t>
      </w:r>
      <w:bookmarkEnd w:id="20"/>
    </w:p>
    <w:p w:rsidR="0056246E" w:rsidRPr="00B476DF" w:rsidRDefault="00AE4EE8" w:rsidP="0056246E">
      <w:pPr>
        <w:rPr>
          <w:rFonts w:ascii="Verdana" w:hAnsi="Verdana"/>
          <w:sz w:val="24"/>
          <w:szCs w:val="24"/>
        </w:rPr>
      </w:pPr>
      <w:r>
        <w:rPr>
          <w:rFonts w:ascii="Verdana" w:hAnsi="Verdana"/>
          <w:sz w:val="24"/>
          <w:szCs w:val="24"/>
        </w:rPr>
        <w:t>Secondo</w:t>
      </w:r>
      <w:r w:rsidR="004466CC">
        <w:rPr>
          <w:rFonts w:ascii="Verdana" w:hAnsi="Verdana"/>
          <w:sz w:val="24"/>
          <w:szCs w:val="24"/>
        </w:rPr>
        <w:t xml:space="preserve"> trimestre</w:t>
      </w:r>
      <w:r w:rsidR="004D018A">
        <w:rPr>
          <w:rFonts w:ascii="Verdana" w:hAnsi="Verdana"/>
          <w:sz w:val="24"/>
          <w:szCs w:val="24"/>
        </w:rPr>
        <w:t xml:space="preserve"> 2019</w:t>
      </w:r>
    </w:p>
    <w:tbl>
      <w:tblPr>
        <w:tblW w:w="9674" w:type="dxa"/>
        <w:tblBorders>
          <w:insideH w:val="single" w:sz="18" w:space="0" w:color="FFFFFF"/>
          <w:insideV w:val="single" w:sz="18" w:space="0" w:color="FFFFFF"/>
        </w:tblBorders>
        <w:tblLook w:val="04A0" w:firstRow="1" w:lastRow="0" w:firstColumn="1" w:lastColumn="0" w:noHBand="0" w:noVBand="1"/>
      </w:tblPr>
      <w:tblGrid>
        <w:gridCol w:w="1985"/>
        <w:gridCol w:w="859"/>
        <w:gridCol w:w="969"/>
        <w:gridCol w:w="1056"/>
        <w:gridCol w:w="846"/>
        <w:gridCol w:w="839"/>
        <w:gridCol w:w="1160"/>
        <w:gridCol w:w="1008"/>
        <w:gridCol w:w="952"/>
      </w:tblGrid>
      <w:tr w:rsidR="00CC70A1" w:rsidRPr="00086F25" w:rsidTr="00B12521">
        <w:trPr>
          <w:trHeight w:val="1063"/>
        </w:trPr>
        <w:tc>
          <w:tcPr>
            <w:tcW w:w="1985"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D64C8" w:rsidRPr="00EB60DF" w:rsidRDefault="00AD64C8" w:rsidP="00AD64C8">
            <w:pPr>
              <w:ind w:right="-235"/>
              <w:rPr>
                <w:rFonts w:ascii="Verdana" w:hAnsi="Verdana" w:cs="Arial"/>
                <w:b/>
                <w:bCs/>
                <w:sz w:val="16"/>
                <w:szCs w:val="16"/>
              </w:rPr>
            </w:pPr>
          </w:p>
        </w:tc>
        <w:tc>
          <w:tcPr>
            <w:tcW w:w="859"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969"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5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3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6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08"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C566AA" w:rsidRPr="00086F25" w:rsidTr="00B12521">
        <w:trPr>
          <w:trHeight w:val="240"/>
        </w:trPr>
        <w:tc>
          <w:tcPr>
            <w:tcW w:w="1985" w:type="dxa"/>
            <w:shd w:val="pct5" w:color="000000" w:fill="FFFFFF"/>
            <w:hideMark/>
          </w:tcPr>
          <w:p w:rsidR="00C566AA" w:rsidRPr="008F7CE1" w:rsidRDefault="00C566AA" w:rsidP="00C566AA">
            <w:pPr>
              <w:jc w:val="both"/>
              <w:rPr>
                <w:rFonts w:ascii="Verdana" w:hAnsi="Verdana" w:cs="Arial"/>
                <w:b/>
                <w:bCs/>
                <w:sz w:val="18"/>
                <w:szCs w:val="18"/>
              </w:rPr>
            </w:pPr>
            <w:r w:rsidRPr="008F7CE1">
              <w:rPr>
                <w:rFonts w:ascii="Verdana" w:hAnsi="Verdana" w:cs="Arial"/>
                <w:b/>
                <w:bCs/>
                <w:sz w:val="18"/>
                <w:szCs w:val="18"/>
              </w:rPr>
              <w:t>Totale</w:t>
            </w:r>
          </w:p>
        </w:tc>
        <w:tc>
          <w:tcPr>
            <w:tcW w:w="859"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-0,9</w:t>
            </w:r>
          </w:p>
        </w:tc>
        <w:tc>
          <w:tcPr>
            <w:tcW w:w="969"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76,0</w:t>
            </w:r>
          </w:p>
        </w:tc>
        <w:tc>
          <w:tcPr>
            <w:tcW w:w="1056"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1,8</w:t>
            </w:r>
          </w:p>
        </w:tc>
        <w:tc>
          <w:tcPr>
            <w:tcW w:w="846"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-0,1</w:t>
            </w:r>
          </w:p>
        </w:tc>
        <w:tc>
          <w:tcPr>
            <w:tcW w:w="839"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0,3</w:t>
            </w:r>
          </w:p>
        </w:tc>
        <w:tc>
          <w:tcPr>
            <w:tcW w:w="1160"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38,7</w:t>
            </w:r>
          </w:p>
        </w:tc>
        <w:tc>
          <w:tcPr>
            <w:tcW w:w="1008"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63,6</w:t>
            </w:r>
          </w:p>
        </w:tc>
        <w:tc>
          <w:tcPr>
            <w:tcW w:w="952" w:type="dxa"/>
            <w:shd w:val="pct5" w:color="000000" w:fill="FFFFFF"/>
            <w:hideMark/>
          </w:tcPr>
          <w:p w:rsidR="00C566AA" w:rsidRDefault="00C566AA" w:rsidP="00C566AA">
            <w:pPr>
              <w:jc w:val="right"/>
              <w:rPr>
                <w:rFonts w:ascii="Verdana" w:hAnsi="Verdana" w:cs="Arial"/>
                <w:b/>
                <w:bCs/>
                <w:sz w:val="18"/>
                <w:szCs w:val="18"/>
              </w:rPr>
            </w:pPr>
            <w:r>
              <w:rPr>
                <w:rFonts w:ascii="Verdana" w:hAnsi="Verdana" w:cs="Arial"/>
                <w:b/>
                <w:bCs/>
                <w:sz w:val="18"/>
                <w:szCs w:val="18"/>
              </w:rPr>
              <w:t>-0,5</w:t>
            </w:r>
          </w:p>
        </w:tc>
      </w:tr>
      <w:tr w:rsidR="00C566AA" w:rsidRPr="00086F25" w:rsidTr="00B12521">
        <w:trPr>
          <w:trHeight w:val="240"/>
        </w:trPr>
        <w:tc>
          <w:tcPr>
            <w:tcW w:w="1985" w:type="dxa"/>
            <w:shd w:val="pct20" w:color="000000" w:fill="FFFFFF"/>
            <w:hideMark/>
          </w:tcPr>
          <w:p w:rsidR="00C566AA" w:rsidRPr="00086F25" w:rsidRDefault="00C566AA" w:rsidP="00C566AA">
            <w:pPr>
              <w:jc w:val="both"/>
              <w:rPr>
                <w:rFonts w:ascii="Verdana" w:hAnsi="Verdana" w:cs="Arial"/>
                <w:sz w:val="16"/>
                <w:szCs w:val="16"/>
              </w:rPr>
            </w:pPr>
            <w:r w:rsidRPr="00086F25">
              <w:rPr>
                <w:rFonts w:ascii="Verdana" w:hAnsi="Verdana" w:cs="Arial"/>
                <w:sz w:val="16"/>
                <w:szCs w:val="16"/>
              </w:rPr>
              <w:t>Beni di consumo</w:t>
            </w:r>
          </w:p>
        </w:tc>
        <w:tc>
          <w:tcPr>
            <w:tcW w:w="85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-0,3</w:t>
            </w:r>
          </w:p>
        </w:tc>
        <w:tc>
          <w:tcPr>
            <w:tcW w:w="96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74,3</w:t>
            </w:r>
          </w:p>
        </w:tc>
        <w:tc>
          <w:tcPr>
            <w:tcW w:w="105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1,9</w:t>
            </w:r>
          </w:p>
        </w:tc>
        <w:tc>
          <w:tcPr>
            <w:tcW w:w="84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3,8</w:t>
            </w:r>
          </w:p>
        </w:tc>
        <w:tc>
          <w:tcPr>
            <w:tcW w:w="83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1,3</w:t>
            </w:r>
          </w:p>
        </w:tc>
        <w:tc>
          <w:tcPr>
            <w:tcW w:w="116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35,4</w:t>
            </w:r>
          </w:p>
        </w:tc>
        <w:tc>
          <w:tcPr>
            <w:tcW w:w="1008"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57,1</w:t>
            </w:r>
          </w:p>
        </w:tc>
        <w:tc>
          <w:tcPr>
            <w:tcW w:w="952"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-2,7</w:t>
            </w:r>
          </w:p>
        </w:tc>
      </w:tr>
      <w:tr w:rsidR="00C566AA" w:rsidRPr="00086F25" w:rsidTr="00B12521">
        <w:trPr>
          <w:trHeight w:val="240"/>
        </w:trPr>
        <w:tc>
          <w:tcPr>
            <w:tcW w:w="1985" w:type="dxa"/>
            <w:shd w:val="pct5" w:color="000000" w:fill="FFFFFF"/>
            <w:hideMark/>
          </w:tcPr>
          <w:p w:rsidR="00C566AA" w:rsidRPr="00086F25" w:rsidRDefault="00C566AA" w:rsidP="00C566AA">
            <w:pPr>
              <w:jc w:val="both"/>
              <w:rPr>
                <w:rFonts w:ascii="Verdana" w:hAnsi="Verdana" w:cs="Arial"/>
                <w:sz w:val="16"/>
                <w:szCs w:val="16"/>
              </w:rPr>
            </w:pPr>
            <w:r w:rsidRPr="00086F25">
              <w:rPr>
                <w:rFonts w:ascii="Verdana" w:hAnsi="Verdana" w:cs="Arial"/>
                <w:sz w:val="16"/>
                <w:szCs w:val="16"/>
              </w:rPr>
              <w:t>Beni intermedi</w:t>
            </w:r>
          </w:p>
        </w:tc>
        <w:tc>
          <w:tcPr>
            <w:tcW w:w="85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-1,0</w:t>
            </w:r>
          </w:p>
        </w:tc>
        <w:tc>
          <w:tcPr>
            <w:tcW w:w="96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75,9</w:t>
            </w:r>
          </w:p>
        </w:tc>
        <w:tc>
          <w:tcPr>
            <w:tcW w:w="105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0,6</w:t>
            </w:r>
          </w:p>
        </w:tc>
        <w:tc>
          <w:tcPr>
            <w:tcW w:w="846"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-1,2</w:t>
            </w:r>
          </w:p>
        </w:tc>
        <w:tc>
          <w:tcPr>
            <w:tcW w:w="839"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0,7</w:t>
            </w:r>
          </w:p>
        </w:tc>
        <w:tc>
          <w:tcPr>
            <w:tcW w:w="1160"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33,9</w:t>
            </w:r>
          </w:p>
        </w:tc>
        <w:tc>
          <w:tcPr>
            <w:tcW w:w="1008"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55,0</w:t>
            </w:r>
          </w:p>
        </w:tc>
        <w:tc>
          <w:tcPr>
            <w:tcW w:w="952" w:type="dxa"/>
            <w:shd w:val="pct5"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0,0</w:t>
            </w:r>
          </w:p>
        </w:tc>
      </w:tr>
      <w:tr w:rsidR="00C566AA" w:rsidRPr="00086F25" w:rsidTr="00B12521">
        <w:trPr>
          <w:trHeight w:val="240"/>
        </w:trPr>
        <w:tc>
          <w:tcPr>
            <w:tcW w:w="1985" w:type="dxa"/>
            <w:shd w:val="pct20" w:color="000000" w:fill="FFFFFF"/>
            <w:vAlign w:val="bottom"/>
            <w:hideMark/>
          </w:tcPr>
          <w:p w:rsidR="00C566AA" w:rsidRPr="00086F25" w:rsidRDefault="00C566AA" w:rsidP="00C566AA">
            <w:pPr>
              <w:rPr>
                <w:rFonts w:ascii="Verdana" w:hAnsi="Verdana" w:cs="Arial"/>
                <w:sz w:val="16"/>
                <w:szCs w:val="16"/>
              </w:rPr>
            </w:pPr>
            <w:r w:rsidRPr="00086F25">
              <w:rPr>
                <w:rFonts w:ascii="Verdana" w:hAnsi="Verdana" w:cs="Arial"/>
                <w:sz w:val="16"/>
                <w:szCs w:val="16"/>
              </w:rPr>
              <w:t>Beni di investimento</w:t>
            </w:r>
          </w:p>
        </w:tc>
        <w:tc>
          <w:tcPr>
            <w:tcW w:w="85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-1,3</w:t>
            </w:r>
          </w:p>
        </w:tc>
        <w:tc>
          <w:tcPr>
            <w:tcW w:w="96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77,8</w:t>
            </w:r>
          </w:p>
        </w:tc>
        <w:tc>
          <w:tcPr>
            <w:tcW w:w="105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3,7</w:t>
            </w:r>
          </w:p>
        </w:tc>
        <w:tc>
          <w:tcPr>
            <w:tcW w:w="846"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-1,7</w:t>
            </w:r>
          </w:p>
        </w:tc>
        <w:tc>
          <w:tcPr>
            <w:tcW w:w="839"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-2,2</w:t>
            </w:r>
          </w:p>
        </w:tc>
        <w:tc>
          <w:tcPr>
            <w:tcW w:w="1160"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49,7</w:t>
            </w:r>
          </w:p>
        </w:tc>
        <w:tc>
          <w:tcPr>
            <w:tcW w:w="1008"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85,4</w:t>
            </w:r>
          </w:p>
        </w:tc>
        <w:tc>
          <w:tcPr>
            <w:tcW w:w="952" w:type="dxa"/>
            <w:shd w:val="pct20" w:color="000000" w:fill="FFFFFF"/>
            <w:hideMark/>
          </w:tcPr>
          <w:p w:rsidR="00C566AA" w:rsidRDefault="00C566AA" w:rsidP="00C566AA">
            <w:pPr>
              <w:jc w:val="right"/>
              <w:rPr>
                <w:rFonts w:ascii="Verdana" w:hAnsi="Verdana" w:cs="Arial"/>
                <w:sz w:val="18"/>
                <w:szCs w:val="18"/>
              </w:rPr>
            </w:pPr>
            <w:r>
              <w:rPr>
                <w:rFonts w:ascii="Verdana" w:hAnsi="Verdana" w:cs="Arial"/>
                <w:sz w:val="18"/>
                <w:szCs w:val="18"/>
              </w:rPr>
              <w:t>0,2</w:t>
            </w:r>
          </w:p>
        </w:tc>
      </w:tr>
      <w:tr w:rsidR="0056246E" w:rsidRPr="00086F25" w:rsidTr="00B12521">
        <w:trPr>
          <w:trHeight w:val="165"/>
        </w:trPr>
        <w:tc>
          <w:tcPr>
            <w:tcW w:w="1985" w:type="dxa"/>
            <w:shd w:val="pct5" w:color="000000" w:fill="FFFFFF"/>
            <w:hideMark/>
          </w:tcPr>
          <w:p w:rsidR="0056246E" w:rsidRPr="00086F25" w:rsidRDefault="0056246E" w:rsidP="00AB0FB9">
            <w:pPr>
              <w:jc w:val="both"/>
              <w:rPr>
                <w:rFonts w:ascii="Verdana" w:hAnsi="Verdana" w:cs="Arial"/>
                <w:i/>
                <w:iCs/>
                <w:sz w:val="16"/>
                <w:szCs w:val="16"/>
              </w:rPr>
            </w:pPr>
          </w:p>
        </w:tc>
        <w:tc>
          <w:tcPr>
            <w:tcW w:w="859" w:type="dxa"/>
            <w:shd w:val="pct5" w:color="000000" w:fill="FFFFFF"/>
            <w:hideMark/>
          </w:tcPr>
          <w:p w:rsidR="0056246E" w:rsidRPr="00086F25" w:rsidRDefault="0056246E" w:rsidP="00AB0FB9">
            <w:pPr>
              <w:jc w:val="right"/>
              <w:rPr>
                <w:rFonts w:ascii="Verdana" w:hAnsi="Verdana" w:cs="Arial"/>
                <w:i/>
                <w:iCs/>
                <w:sz w:val="16"/>
                <w:szCs w:val="16"/>
              </w:rPr>
            </w:pPr>
          </w:p>
        </w:tc>
        <w:tc>
          <w:tcPr>
            <w:tcW w:w="969" w:type="dxa"/>
            <w:shd w:val="pct5" w:color="000000" w:fill="FFFFFF"/>
            <w:hideMark/>
          </w:tcPr>
          <w:p w:rsidR="0056246E" w:rsidRPr="00086F25" w:rsidRDefault="0056246E" w:rsidP="00AB0FB9">
            <w:pPr>
              <w:jc w:val="right"/>
              <w:rPr>
                <w:rFonts w:ascii="Verdana" w:hAnsi="Verdana" w:cs="Arial"/>
                <w:i/>
                <w:iCs/>
                <w:sz w:val="16"/>
                <w:szCs w:val="16"/>
              </w:rPr>
            </w:pPr>
          </w:p>
        </w:tc>
        <w:tc>
          <w:tcPr>
            <w:tcW w:w="1056" w:type="dxa"/>
            <w:shd w:val="pct5" w:color="000000" w:fill="FFFFFF"/>
            <w:hideMark/>
          </w:tcPr>
          <w:p w:rsidR="0056246E" w:rsidRPr="00086F25" w:rsidRDefault="0056246E" w:rsidP="00AB0FB9">
            <w:pPr>
              <w:jc w:val="right"/>
              <w:rPr>
                <w:rFonts w:ascii="Verdana" w:hAnsi="Verdana" w:cs="Arial"/>
                <w:i/>
                <w:iCs/>
                <w:sz w:val="16"/>
                <w:szCs w:val="16"/>
              </w:rPr>
            </w:pPr>
          </w:p>
        </w:tc>
        <w:tc>
          <w:tcPr>
            <w:tcW w:w="846" w:type="dxa"/>
            <w:shd w:val="pct5" w:color="000000" w:fill="FFFFFF"/>
            <w:hideMark/>
          </w:tcPr>
          <w:p w:rsidR="0056246E" w:rsidRPr="00086F25" w:rsidRDefault="0056246E" w:rsidP="00AB0FB9">
            <w:pPr>
              <w:jc w:val="right"/>
              <w:rPr>
                <w:rFonts w:ascii="Verdana" w:hAnsi="Verdana" w:cs="Arial"/>
                <w:i/>
                <w:iCs/>
                <w:sz w:val="16"/>
                <w:szCs w:val="16"/>
              </w:rPr>
            </w:pPr>
          </w:p>
        </w:tc>
        <w:tc>
          <w:tcPr>
            <w:tcW w:w="839" w:type="dxa"/>
            <w:shd w:val="pct5" w:color="000000" w:fill="FFFFFF"/>
            <w:hideMark/>
          </w:tcPr>
          <w:p w:rsidR="0056246E" w:rsidRPr="00086F25" w:rsidRDefault="0056246E" w:rsidP="00AB0FB9">
            <w:pPr>
              <w:jc w:val="right"/>
              <w:rPr>
                <w:rFonts w:ascii="Verdana" w:hAnsi="Verdana" w:cs="Arial"/>
                <w:i/>
                <w:iCs/>
                <w:sz w:val="16"/>
                <w:szCs w:val="16"/>
              </w:rPr>
            </w:pPr>
          </w:p>
        </w:tc>
        <w:tc>
          <w:tcPr>
            <w:tcW w:w="1160" w:type="dxa"/>
            <w:shd w:val="pct5" w:color="000000" w:fill="FFFFFF"/>
            <w:hideMark/>
          </w:tcPr>
          <w:p w:rsidR="0056246E" w:rsidRPr="00086F25" w:rsidRDefault="0056246E" w:rsidP="00AB0FB9">
            <w:pPr>
              <w:jc w:val="right"/>
              <w:rPr>
                <w:rFonts w:ascii="Verdana" w:hAnsi="Verdana" w:cs="Arial"/>
                <w:i/>
                <w:iCs/>
                <w:sz w:val="16"/>
                <w:szCs w:val="16"/>
              </w:rPr>
            </w:pPr>
          </w:p>
        </w:tc>
        <w:tc>
          <w:tcPr>
            <w:tcW w:w="1008" w:type="dxa"/>
            <w:shd w:val="pct5" w:color="000000" w:fill="FFFFFF"/>
            <w:hideMark/>
          </w:tcPr>
          <w:p w:rsidR="0056246E" w:rsidRPr="00086F25" w:rsidRDefault="0056246E" w:rsidP="00AB0FB9">
            <w:pPr>
              <w:jc w:val="right"/>
              <w:rPr>
                <w:rFonts w:ascii="Verdana" w:hAnsi="Verdana" w:cs="Arial"/>
                <w:i/>
                <w:iCs/>
                <w:sz w:val="16"/>
                <w:szCs w:val="16"/>
              </w:rPr>
            </w:pPr>
          </w:p>
        </w:tc>
        <w:tc>
          <w:tcPr>
            <w:tcW w:w="952"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844C01">
      <w:pPr>
        <w:spacing w:line="360" w:lineRule="auto"/>
        <w:ind w:right="567"/>
        <w:jc w:val="both"/>
        <w:rPr>
          <w:rFonts w:ascii="Verdana" w:hAnsi="Verdana"/>
          <w:b/>
          <w:sz w:val="24"/>
          <w:szCs w:val="24"/>
        </w:rPr>
      </w:pPr>
    </w:p>
    <w:p w:rsidR="00845E31" w:rsidRDefault="00845E31" w:rsidP="00844C01">
      <w:pPr>
        <w:spacing w:line="360" w:lineRule="auto"/>
        <w:ind w:right="567"/>
        <w:jc w:val="both"/>
        <w:rPr>
          <w:rFonts w:ascii="Verdana" w:hAnsi="Verdana"/>
          <w:b/>
          <w:sz w:val="24"/>
          <w:szCs w:val="24"/>
        </w:rPr>
      </w:pPr>
    </w:p>
    <w:p w:rsidR="00845E31" w:rsidRPr="00844C01" w:rsidRDefault="00845E31" w:rsidP="00844C01">
      <w:pPr>
        <w:spacing w:line="360" w:lineRule="auto"/>
        <w:ind w:right="567"/>
        <w:jc w:val="both"/>
        <w:rPr>
          <w:rFonts w:ascii="Verdana" w:hAnsi="Verdana"/>
          <w:b/>
          <w:sz w:val="24"/>
          <w:szCs w:val="24"/>
        </w:rPr>
      </w:pPr>
    </w:p>
    <w:p w:rsidR="00B511BA" w:rsidRPr="000911C2" w:rsidRDefault="00B511BA" w:rsidP="00B511BA">
      <w:pPr>
        <w:spacing w:line="360" w:lineRule="auto"/>
        <w:ind w:left="567" w:right="567"/>
        <w:jc w:val="both"/>
        <w:rPr>
          <w:rFonts w:ascii="Verdana" w:hAnsi="Verdana"/>
          <w:b/>
          <w:sz w:val="24"/>
          <w:szCs w:val="24"/>
        </w:rPr>
      </w:pPr>
      <w:r w:rsidRPr="000911C2">
        <w:rPr>
          <w:rFonts w:ascii="Verdana" w:hAnsi="Verdana"/>
          <w:b/>
          <w:sz w:val="24"/>
          <w:szCs w:val="24"/>
        </w:rPr>
        <w:t>Commento:</w:t>
      </w:r>
    </w:p>
    <w:p w:rsidR="00A20B28" w:rsidRDefault="00EB0266" w:rsidP="003D261A">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 xml:space="preserve">La fase espansiva legata agli investimenti sembra </w:t>
      </w:r>
      <w:r w:rsidR="00063285">
        <w:rPr>
          <w:rFonts w:ascii="Verdana" w:hAnsi="Verdana"/>
          <w:sz w:val="22"/>
          <w:szCs w:val="22"/>
        </w:rPr>
        <w:t>essersi esaurita</w:t>
      </w:r>
      <w:r>
        <w:rPr>
          <w:rFonts w:ascii="Verdana" w:hAnsi="Verdana"/>
          <w:sz w:val="22"/>
          <w:szCs w:val="22"/>
        </w:rPr>
        <w:t xml:space="preserve"> e le imprese produttrici di beni di investimento registrano non solo un calo produttivo (-1,3%) ma anche una riduzione degli ordini sia dall’interno (-1,7%) che dall’estero (-2,2%).</w:t>
      </w:r>
    </w:p>
    <w:p w:rsidR="00EB0266" w:rsidRDefault="00773AA8" w:rsidP="003D261A">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I beni intermedi sono allineati per quanto riguarda la contrazione dei livelli produttivi (-1,0%)</w:t>
      </w:r>
      <w:r w:rsidR="006328E8">
        <w:rPr>
          <w:rFonts w:ascii="Verdana" w:hAnsi="Verdana"/>
          <w:sz w:val="22"/>
          <w:szCs w:val="22"/>
        </w:rPr>
        <w:t>,</w:t>
      </w:r>
      <w:r>
        <w:rPr>
          <w:rFonts w:ascii="Verdana" w:hAnsi="Verdana"/>
          <w:sz w:val="22"/>
          <w:szCs w:val="22"/>
        </w:rPr>
        <w:t xml:space="preserve"> ma sono in sofferenza </w:t>
      </w:r>
      <w:r w:rsidR="000131F1">
        <w:rPr>
          <w:rFonts w:ascii="Verdana" w:hAnsi="Verdana"/>
          <w:sz w:val="22"/>
          <w:szCs w:val="22"/>
        </w:rPr>
        <w:t xml:space="preserve">solo </w:t>
      </w:r>
      <w:r>
        <w:rPr>
          <w:rFonts w:ascii="Verdana" w:hAnsi="Verdana"/>
          <w:sz w:val="22"/>
          <w:szCs w:val="22"/>
        </w:rPr>
        <w:t xml:space="preserve">sul mercato interno (-1,2% gli ordini) </w:t>
      </w:r>
      <w:r w:rsidR="000131F1">
        <w:rPr>
          <w:rFonts w:ascii="Verdana" w:hAnsi="Verdana"/>
          <w:sz w:val="22"/>
          <w:szCs w:val="22"/>
        </w:rPr>
        <w:t>e</w:t>
      </w:r>
      <w:r>
        <w:rPr>
          <w:rFonts w:ascii="Verdana" w:hAnsi="Verdana"/>
          <w:sz w:val="22"/>
          <w:szCs w:val="22"/>
        </w:rPr>
        <w:t xml:space="preserve"> non ancora sul mercato estero (+0,7% gli ordini esteri).</w:t>
      </w:r>
    </w:p>
    <w:p w:rsidR="00773AA8" w:rsidRDefault="00773AA8" w:rsidP="003D261A">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Infine, i beni di consumo finali contengono al -0,3% la contrazione dei livelli prod</w:t>
      </w:r>
      <w:r w:rsidR="006328E8">
        <w:rPr>
          <w:rFonts w:ascii="Verdana" w:hAnsi="Verdana"/>
          <w:sz w:val="22"/>
          <w:szCs w:val="22"/>
        </w:rPr>
        <w:t>uttivi,</w:t>
      </w:r>
      <w:r w:rsidR="000131F1">
        <w:rPr>
          <w:rFonts w:ascii="Verdana" w:hAnsi="Verdana"/>
          <w:sz w:val="22"/>
          <w:szCs w:val="22"/>
        </w:rPr>
        <w:t xml:space="preserve"> registran</w:t>
      </w:r>
      <w:r w:rsidR="006328E8">
        <w:rPr>
          <w:rFonts w:ascii="Verdana" w:hAnsi="Verdana"/>
          <w:sz w:val="22"/>
          <w:szCs w:val="22"/>
        </w:rPr>
        <w:t>d</w:t>
      </w:r>
      <w:r w:rsidR="000131F1">
        <w:rPr>
          <w:rFonts w:ascii="Verdana" w:hAnsi="Verdana"/>
          <w:sz w:val="22"/>
          <w:szCs w:val="22"/>
        </w:rPr>
        <w:t>o incrementi s</w:t>
      </w:r>
      <w:r>
        <w:rPr>
          <w:rFonts w:ascii="Verdana" w:hAnsi="Verdana"/>
          <w:sz w:val="22"/>
          <w:szCs w:val="22"/>
        </w:rPr>
        <w:t>ia per gli ordini interni (+3,8%) che per quelli esteri (+1,3%)</w:t>
      </w:r>
      <w:r w:rsidR="006328E8">
        <w:rPr>
          <w:rFonts w:ascii="Verdana" w:hAnsi="Verdana"/>
          <w:sz w:val="22"/>
          <w:szCs w:val="22"/>
        </w:rPr>
        <w:t xml:space="preserve"> che potrebbero influire positivamente sul risultato del prossimo trimestre</w:t>
      </w:r>
      <w:r>
        <w:rPr>
          <w:rFonts w:ascii="Verdana" w:hAnsi="Verdana"/>
          <w:sz w:val="22"/>
          <w:szCs w:val="22"/>
        </w:rPr>
        <w:t>.</w:t>
      </w:r>
    </w:p>
    <w:p w:rsidR="008E49C6" w:rsidRDefault="00F438BC" w:rsidP="003D261A">
      <w:pPr>
        <w:pStyle w:val="Pidipagina"/>
        <w:tabs>
          <w:tab w:val="clear" w:pos="4819"/>
          <w:tab w:val="clear" w:pos="9638"/>
        </w:tabs>
        <w:spacing w:line="360" w:lineRule="auto"/>
        <w:ind w:right="-56"/>
        <w:jc w:val="both"/>
      </w:pPr>
      <w:r w:rsidRPr="00C94BFB">
        <w:br w:type="page"/>
      </w:r>
      <w:bookmarkStart w:id="21" w:name="_Toc188872032"/>
      <w:bookmarkStart w:id="22" w:name="_Toc196627806"/>
      <w:bookmarkStart w:id="23" w:name="_Toc220839583"/>
      <w:bookmarkStart w:id="24" w:name="_Toc220839638"/>
      <w:bookmarkStart w:id="25" w:name="_Toc235938629"/>
      <w:bookmarkStart w:id="26" w:name="_Toc252269731"/>
      <w:bookmarkStart w:id="27" w:name="_Toc252269836"/>
      <w:bookmarkStart w:id="28" w:name="_Toc284233301"/>
      <w:bookmarkStart w:id="29" w:name="_Toc290904516"/>
      <w:bookmarkStart w:id="30" w:name="_Toc314834466"/>
      <w:bookmarkStart w:id="31" w:name="_Toc314834617"/>
      <w:bookmarkStart w:id="32" w:name="_Toc315172902"/>
      <w:bookmarkStart w:id="33" w:name="_Toc322961234"/>
      <w:bookmarkStart w:id="34" w:name="_Toc347398217"/>
      <w:bookmarkStart w:id="35" w:name="_Toc379205846"/>
      <w:bookmarkStart w:id="36" w:name="_Toc379291553"/>
      <w:bookmarkStart w:id="37" w:name="_Toc442172769"/>
      <w:bookmarkStart w:id="38" w:name="_Toc473641271"/>
      <w:bookmarkStart w:id="39" w:name="_Toc480443244"/>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4F5D65">
        <w:rPr>
          <w:noProof/>
        </w:rPr>
        <w:t>2</w:t>
      </w:r>
      <w:r w:rsidR="00651D3B">
        <w:rPr>
          <w:noProof/>
        </w:rPr>
        <w:fldChar w:fldCharType="end"/>
      </w:r>
      <w:r w:rsidR="00636057" w:rsidRPr="00EB60DF">
        <w:t>: Andamento della produzione industriale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B23D6" w:rsidRPr="006B23D6" w:rsidRDefault="006B23D6" w:rsidP="006B23D6"/>
    <w:p w:rsidR="00654EE1" w:rsidRDefault="001B30EB" w:rsidP="00271A11">
      <w:pPr>
        <w:pStyle w:val="Corpodeltesto2"/>
        <w:jc w:val="center"/>
        <w:rPr>
          <w:rFonts w:ascii="Verdana" w:hAnsi="Verdana"/>
          <w:sz w:val="24"/>
          <w:szCs w:val="24"/>
        </w:rPr>
      </w:pPr>
      <w:r>
        <w:rPr>
          <w:noProof/>
        </w:rPr>
        <w:drawing>
          <wp:inline distT="0" distB="0" distL="0" distR="0" wp14:anchorId="5BF30FF6" wp14:editId="68D10822">
            <wp:extent cx="5908040" cy="31838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8389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461C6D" w:rsidRDefault="00101A2E" w:rsidP="00101A2E">
      <w:pPr>
        <w:pStyle w:val="Corpodeltesto2"/>
        <w:spacing w:line="360" w:lineRule="auto"/>
        <w:ind w:left="567" w:right="567"/>
        <w:rPr>
          <w:rFonts w:ascii="Verdana" w:hAnsi="Verdana"/>
          <w:sz w:val="24"/>
          <w:szCs w:val="24"/>
        </w:rPr>
      </w:pPr>
      <w:r w:rsidRPr="00461C6D">
        <w:rPr>
          <w:rFonts w:ascii="Verdana" w:hAnsi="Verdana"/>
          <w:b/>
          <w:sz w:val="24"/>
          <w:szCs w:val="24"/>
        </w:rPr>
        <w:t>Commento</w:t>
      </w:r>
      <w:r w:rsidRPr="00461C6D">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E4176B">
        <w:rPr>
          <w:rFonts w:ascii="Verdana" w:hAnsi="Verdana"/>
          <w:sz w:val="22"/>
          <w:szCs w:val="22"/>
        </w:rPr>
        <w:t>L’indice della produzione</w:t>
      </w:r>
      <w:r w:rsidR="0067377F" w:rsidRPr="00E4176B">
        <w:rPr>
          <w:rFonts w:ascii="Verdana" w:hAnsi="Verdana"/>
          <w:sz w:val="22"/>
          <w:szCs w:val="22"/>
        </w:rPr>
        <w:t xml:space="preserve"> </w:t>
      </w:r>
      <w:r w:rsidR="00164FC0" w:rsidRPr="00E4176B">
        <w:rPr>
          <w:rFonts w:ascii="Verdana" w:hAnsi="Verdana"/>
          <w:sz w:val="22"/>
          <w:szCs w:val="22"/>
        </w:rPr>
        <w:t xml:space="preserve">destagionalizzato </w:t>
      </w:r>
      <w:r w:rsidR="00E4176B" w:rsidRPr="00E4176B">
        <w:rPr>
          <w:rFonts w:ascii="Verdana" w:hAnsi="Verdana"/>
          <w:sz w:val="22"/>
          <w:szCs w:val="22"/>
        </w:rPr>
        <w:t>scende</w:t>
      </w:r>
      <w:r w:rsidR="00A0215D" w:rsidRPr="00E4176B">
        <w:rPr>
          <w:rFonts w:ascii="Verdana" w:hAnsi="Verdana"/>
          <w:sz w:val="22"/>
          <w:szCs w:val="22"/>
        </w:rPr>
        <w:t xml:space="preserve"> a</w:t>
      </w:r>
      <w:r w:rsidR="00B05A75" w:rsidRPr="00E4176B">
        <w:rPr>
          <w:rFonts w:ascii="Verdana" w:hAnsi="Verdana"/>
          <w:sz w:val="22"/>
          <w:szCs w:val="22"/>
        </w:rPr>
        <w:t xml:space="preserve"> quota </w:t>
      </w:r>
      <w:r w:rsidR="00600091" w:rsidRPr="00E4176B">
        <w:rPr>
          <w:rFonts w:ascii="Verdana" w:hAnsi="Verdana"/>
          <w:sz w:val="22"/>
          <w:szCs w:val="22"/>
        </w:rPr>
        <w:t>11</w:t>
      </w:r>
      <w:r w:rsidR="00E4176B" w:rsidRPr="00E4176B">
        <w:rPr>
          <w:rFonts w:ascii="Verdana" w:hAnsi="Verdana"/>
          <w:sz w:val="22"/>
          <w:szCs w:val="22"/>
        </w:rPr>
        <w:t>0</w:t>
      </w:r>
      <w:r w:rsidR="00566B4F" w:rsidRPr="00E4176B">
        <w:rPr>
          <w:rFonts w:ascii="Verdana" w:hAnsi="Verdana"/>
          <w:sz w:val="22"/>
          <w:szCs w:val="22"/>
        </w:rPr>
        <w:t>,</w:t>
      </w:r>
      <w:r w:rsidR="00E4176B" w:rsidRPr="00E4176B">
        <w:rPr>
          <w:rFonts w:ascii="Verdana" w:hAnsi="Verdana"/>
          <w:sz w:val="22"/>
          <w:szCs w:val="22"/>
        </w:rPr>
        <w:t>4</w:t>
      </w:r>
      <w:r w:rsidR="00600091" w:rsidRPr="00E4176B">
        <w:rPr>
          <w:rFonts w:ascii="Verdana" w:hAnsi="Verdana"/>
          <w:sz w:val="22"/>
          <w:szCs w:val="22"/>
        </w:rPr>
        <w:t xml:space="preserve"> </w:t>
      </w:r>
      <w:r w:rsidR="00F36A15" w:rsidRPr="00E4176B">
        <w:rPr>
          <w:rFonts w:ascii="Verdana" w:hAnsi="Verdana"/>
          <w:sz w:val="22"/>
          <w:szCs w:val="22"/>
        </w:rPr>
        <w:t xml:space="preserve">poco più di </w:t>
      </w:r>
      <w:r w:rsidR="00A0215D" w:rsidRPr="00E4176B">
        <w:rPr>
          <w:rFonts w:ascii="Verdana" w:hAnsi="Verdana"/>
          <w:sz w:val="22"/>
          <w:szCs w:val="22"/>
        </w:rPr>
        <w:t>1</w:t>
      </w:r>
      <w:r w:rsidR="00E4176B" w:rsidRPr="00E4176B">
        <w:rPr>
          <w:rFonts w:ascii="Verdana" w:hAnsi="Verdana"/>
          <w:sz w:val="22"/>
          <w:szCs w:val="22"/>
        </w:rPr>
        <w:t>0</w:t>
      </w:r>
      <w:r w:rsidR="00A0215D" w:rsidRPr="00E4176B">
        <w:rPr>
          <w:rFonts w:ascii="Verdana" w:hAnsi="Verdana"/>
          <w:sz w:val="22"/>
          <w:szCs w:val="22"/>
        </w:rPr>
        <w:t xml:space="preserve"> punti</w:t>
      </w:r>
      <w:r w:rsidR="00600091" w:rsidRPr="00E4176B">
        <w:rPr>
          <w:rFonts w:ascii="Verdana" w:hAnsi="Verdana"/>
          <w:sz w:val="22"/>
          <w:szCs w:val="22"/>
        </w:rPr>
        <w:t xml:space="preserve"> </w:t>
      </w:r>
      <w:r w:rsidR="00A0215D" w:rsidRPr="00E4176B">
        <w:rPr>
          <w:rFonts w:ascii="Verdana" w:hAnsi="Verdana"/>
          <w:sz w:val="22"/>
          <w:szCs w:val="22"/>
        </w:rPr>
        <w:t>sopra</w:t>
      </w:r>
      <w:r w:rsidR="00600091" w:rsidRPr="00E4176B">
        <w:rPr>
          <w:rFonts w:ascii="Verdana" w:hAnsi="Verdana"/>
          <w:sz w:val="22"/>
          <w:szCs w:val="22"/>
        </w:rPr>
        <w:t xml:space="preserve"> l’anno base (anno 2010)</w:t>
      </w:r>
      <w:r w:rsidR="00095E0C" w:rsidRPr="00E4176B">
        <w:rPr>
          <w:rFonts w:ascii="Verdana" w:hAnsi="Verdana"/>
          <w:sz w:val="22"/>
          <w:szCs w:val="22"/>
        </w:rPr>
        <w:t>.</w:t>
      </w:r>
      <w:r w:rsidR="00E4176B">
        <w:rPr>
          <w:rFonts w:ascii="Verdana" w:hAnsi="Verdana"/>
          <w:sz w:val="22"/>
          <w:szCs w:val="22"/>
        </w:rPr>
        <w:t xml:space="preserve"> L’arretramento </w:t>
      </w:r>
      <w:r w:rsidR="008A0995">
        <w:rPr>
          <w:rFonts w:ascii="Verdana" w:hAnsi="Verdana"/>
          <w:sz w:val="22"/>
          <w:szCs w:val="22"/>
        </w:rPr>
        <w:t xml:space="preserve">congiunturale </w:t>
      </w:r>
      <w:r w:rsidR="00E4176B">
        <w:rPr>
          <w:rFonts w:ascii="Verdana" w:hAnsi="Verdana"/>
          <w:sz w:val="22"/>
          <w:szCs w:val="22"/>
        </w:rPr>
        <w:t>è significativo</w:t>
      </w:r>
      <w:r w:rsidR="008A0995">
        <w:rPr>
          <w:rFonts w:ascii="Verdana" w:hAnsi="Verdana"/>
          <w:sz w:val="22"/>
          <w:szCs w:val="22"/>
        </w:rPr>
        <w:t>,</w:t>
      </w:r>
      <w:r w:rsidR="00E4176B">
        <w:rPr>
          <w:rFonts w:ascii="Verdana" w:hAnsi="Verdana"/>
          <w:sz w:val="22"/>
          <w:szCs w:val="22"/>
        </w:rPr>
        <w:t xml:space="preserve"> ed è il più intenso registrato dal 2013 (-1,2% la variazione congiunturale destagionalizzata).</w:t>
      </w:r>
    </w:p>
    <w:p w:rsidR="00D8500D" w:rsidRDefault="00D8500D" w:rsidP="00256F69">
      <w:pPr>
        <w:spacing w:line="360" w:lineRule="auto"/>
        <w:ind w:right="124"/>
        <w:jc w:val="both"/>
        <w:rPr>
          <w:rFonts w:ascii="Verdana" w:hAnsi="Verdana"/>
          <w:sz w:val="22"/>
          <w:szCs w:val="22"/>
        </w:rPr>
      </w:pPr>
      <w:r>
        <w:rPr>
          <w:rFonts w:ascii="Verdana" w:hAnsi="Verdana"/>
          <w:sz w:val="22"/>
          <w:szCs w:val="22"/>
        </w:rPr>
        <w:t>La variazione tendenziale negativa arriva dopo ben 24 trimestri positivi consecutivi</w:t>
      </w:r>
      <w:r w:rsidR="008A0995">
        <w:rPr>
          <w:rFonts w:ascii="Verdana" w:hAnsi="Verdana"/>
          <w:sz w:val="22"/>
          <w:szCs w:val="22"/>
        </w:rPr>
        <w:t xml:space="preserve"> e sancisce una chiara svolta della tendenza di fondo</w:t>
      </w:r>
      <w:r>
        <w:rPr>
          <w:rFonts w:ascii="Verdana" w:hAnsi="Verdana"/>
          <w:sz w:val="22"/>
          <w:szCs w:val="22"/>
        </w:rPr>
        <w:t>.</w:t>
      </w:r>
    </w:p>
    <w:p w:rsidR="00E4176B" w:rsidRDefault="00E4176B" w:rsidP="00256F69">
      <w:pPr>
        <w:spacing w:line="360" w:lineRule="auto"/>
        <w:ind w:right="124"/>
        <w:jc w:val="both"/>
        <w:rPr>
          <w:rFonts w:ascii="Verdana" w:hAnsi="Verdana"/>
          <w:sz w:val="22"/>
          <w:szCs w:val="22"/>
        </w:rPr>
      </w:pPr>
    </w:p>
    <w:p w:rsidR="004416F0" w:rsidRDefault="008E49C6" w:rsidP="00B012FD">
      <w:pPr>
        <w:pStyle w:val="Titolo1"/>
      </w:pPr>
      <w:r w:rsidRPr="00C94BFB">
        <w:br w:type="page"/>
      </w:r>
      <w:bookmarkStart w:id="40" w:name="_Toc139965086"/>
      <w:bookmarkStart w:id="41" w:name="_Toc188872033"/>
      <w:bookmarkStart w:id="42" w:name="_Toc196627807"/>
      <w:bookmarkStart w:id="43" w:name="_Toc220839584"/>
      <w:bookmarkStart w:id="44" w:name="_Toc220839639"/>
      <w:bookmarkStart w:id="45" w:name="_Toc235938630"/>
      <w:bookmarkStart w:id="46" w:name="_Toc252269732"/>
      <w:bookmarkStart w:id="47" w:name="_Toc252269837"/>
      <w:bookmarkStart w:id="48" w:name="_Toc284233302"/>
      <w:bookmarkStart w:id="49" w:name="_Toc290904517"/>
      <w:bookmarkStart w:id="50" w:name="_Toc314834467"/>
      <w:bookmarkStart w:id="51" w:name="_Toc314834618"/>
      <w:bookmarkStart w:id="52" w:name="_Toc315172903"/>
      <w:bookmarkStart w:id="53" w:name="_Toc322961235"/>
      <w:bookmarkStart w:id="54" w:name="_Toc347398218"/>
      <w:bookmarkStart w:id="55" w:name="_Toc379205847"/>
      <w:bookmarkStart w:id="56" w:name="_Toc379291554"/>
      <w:bookmarkStart w:id="57" w:name="_Toc442172770"/>
      <w:bookmarkStart w:id="58" w:name="_Toc473641272"/>
      <w:bookmarkStart w:id="59" w:name="_Toc480443245"/>
      <w:bookmarkStart w:id="60" w:name="_Toc519784541"/>
      <w:bookmarkStart w:id="61" w:name="_Toc139964187"/>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4F5D65">
        <w:rPr>
          <w:noProof/>
        </w:rPr>
        <w:t>3</w:t>
      </w:r>
      <w:r w:rsidR="00651D3B">
        <w:rPr>
          <w:noProof/>
        </w:rPr>
        <w:fldChar w:fldCharType="end"/>
      </w:r>
      <w:r w:rsidR="00636057" w:rsidRPr="00EB60DF">
        <w:t>: Fatturato totale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B1F89" w:rsidRPr="008B1F89" w:rsidRDefault="008B1F89" w:rsidP="008B1F89"/>
    <w:bookmarkEnd w:id="61"/>
    <w:p w:rsidR="006566B6" w:rsidRPr="00271A11" w:rsidRDefault="00052879" w:rsidP="00271A11">
      <w:pPr>
        <w:jc w:val="center"/>
        <w:rPr>
          <w:rFonts w:ascii="Verdana" w:hAnsi="Verdana"/>
          <w:b/>
          <w:sz w:val="24"/>
          <w:szCs w:val="24"/>
        </w:rPr>
      </w:pPr>
      <w:r>
        <w:rPr>
          <w:noProof/>
        </w:rPr>
        <w:drawing>
          <wp:inline distT="0" distB="0" distL="0" distR="0" wp14:anchorId="7DDEC6F9" wp14:editId="66844819">
            <wp:extent cx="5908040" cy="3163051"/>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163051"/>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5D69F8" w:rsidP="00F574ED">
      <w:pPr>
        <w:spacing w:line="360" w:lineRule="auto"/>
        <w:ind w:right="124"/>
        <w:jc w:val="both"/>
        <w:rPr>
          <w:rFonts w:ascii="Verdana" w:hAnsi="Verdana"/>
          <w:sz w:val="22"/>
          <w:szCs w:val="22"/>
        </w:rPr>
      </w:pPr>
      <w:r w:rsidRPr="002526E3">
        <w:rPr>
          <w:rFonts w:ascii="Verdana" w:hAnsi="Verdana"/>
          <w:sz w:val="22"/>
          <w:szCs w:val="22"/>
        </w:rPr>
        <w:t>Al contrario della produzione</w:t>
      </w:r>
      <w:r w:rsidR="00063285">
        <w:rPr>
          <w:rFonts w:ascii="Verdana" w:hAnsi="Verdana"/>
          <w:sz w:val="22"/>
          <w:szCs w:val="22"/>
        </w:rPr>
        <w:t>,</w:t>
      </w:r>
      <w:r w:rsidRPr="002526E3">
        <w:rPr>
          <w:rFonts w:ascii="Verdana" w:hAnsi="Verdana"/>
          <w:sz w:val="22"/>
          <w:szCs w:val="22"/>
        </w:rPr>
        <w:t xml:space="preserve"> i</w:t>
      </w:r>
      <w:r w:rsidR="00F87118" w:rsidRPr="002526E3">
        <w:rPr>
          <w:rFonts w:ascii="Verdana" w:hAnsi="Verdana"/>
          <w:sz w:val="22"/>
          <w:szCs w:val="22"/>
        </w:rPr>
        <w:t>l fatturato</w:t>
      </w:r>
      <w:r w:rsidRPr="002526E3">
        <w:rPr>
          <w:rFonts w:ascii="Verdana" w:hAnsi="Verdana"/>
          <w:sz w:val="22"/>
          <w:szCs w:val="22"/>
        </w:rPr>
        <w:t xml:space="preserve"> </w:t>
      </w:r>
      <w:r w:rsidR="002526E3" w:rsidRPr="002526E3">
        <w:rPr>
          <w:rFonts w:ascii="Verdana" w:hAnsi="Verdana"/>
          <w:sz w:val="22"/>
          <w:szCs w:val="22"/>
        </w:rPr>
        <w:t>cresce ancora</w:t>
      </w:r>
      <w:r w:rsidR="002526E3">
        <w:rPr>
          <w:rFonts w:ascii="Verdana" w:hAnsi="Verdana"/>
          <w:sz w:val="22"/>
          <w:szCs w:val="22"/>
        </w:rPr>
        <w:t xml:space="preserve"> dopo lo stop congiunturale dello scorso trimestre,</w:t>
      </w:r>
      <w:r w:rsidR="002526E3" w:rsidRPr="002526E3">
        <w:rPr>
          <w:rFonts w:ascii="Verdana" w:hAnsi="Verdana"/>
          <w:sz w:val="22"/>
          <w:szCs w:val="22"/>
        </w:rPr>
        <w:t xml:space="preserve"> anche se con minor intensità</w:t>
      </w:r>
      <w:r w:rsidR="002526E3">
        <w:rPr>
          <w:rFonts w:ascii="Verdana" w:hAnsi="Verdana"/>
          <w:sz w:val="22"/>
          <w:szCs w:val="22"/>
        </w:rPr>
        <w:t xml:space="preserve"> rispetto ai risultati dello scorso anno</w:t>
      </w:r>
      <w:r w:rsidR="00E1118A" w:rsidRPr="002526E3">
        <w:rPr>
          <w:rFonts w:ascii="Verdana" w:hAnsi="Verdana"/>
          <w:sz w:val="22"/>
          <w:szCs w:val="22"/>
        </w:rPr>
        <w:t>.</w:t>
      </w:r>
      <w:r w:rsidR="002526E3">
        <w:rPr>
          <w:rFonts w:ascii="Verdana" w:hAnsi="Verdana"/>
          <w:sz w:val="22"/>
          <w:szCs w:val="22"/>
        </w:rPr>
        <w:t xml:space="preserve"> Lo spostamento della produzione su prodotti </w:t>
      </w:r>
      <w:r w:rsidR="006D2A9D">
        <w:rPr>
          <w:rFonts w:ascii="Verdana" w:hAnsi="Verdana"/>
          <w:sz w:val="22"/>
          <w:szCs w:val="22"/>
        </w:rPr>
        <w:t>di maggior valore può spiegare il differente andamento di produzione e fatturato.</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2" w:name="_Toc139965087"/>
      <w:bookmarkStart w:id="63" w:name="_Toc188872034"/>
      <w:bookmarkStart w:id="64" w:name="_Toc196627808"/>
      <w:bookmarkStart w:id="65" w:name="_Toc220839585"/>
      <w:bookmarkStart w:id="66" w:name="_Toc220839640"/>
      <w:bookmarkStart w:id="67" w:name="_Toc235938631"/>
      <w:bookmarkStart w:id="68" w:name="_Toc252269733"/>
      <w:bookmarkStart w:id="69" w:name="_Toc252269838"/>
      <w:bookmarkStart w:id="70" w:name="_Toc284233303"/>
      <w:bookmarkStart w:id="71" w:name="_Toc290904518"/>
      <w:bookmarkStart w:id="72" w:name="_Toc314834468"/>
      <w:bookmarkStart w:id="73" w:name="_Toc314834619"/>
      <w:bookmarkStart w:id="74" w:name="_Toc315172904"/>
      <w:bookmarkStart w:id="75" w:name="_Toc322961236"/>
      <w:bookmarkStart w:id="76" w:name="_Toc347398219"/>
      <w:bookmarkStart w:id="77" w:name="_Toc379205848"/>
      <w:bookmarkStart w:id="78" w:name="_Toc379291555"/>
      <w:bookmarkStart w:id="79" w:name="_Toc442172771"/>
      <w:bookmarkStart w:id="80" w:name="_Toc473641273"/>
      <w:bookmarkStart w:id="81" w:name="_Toc480443246"/>
      <w:bookmarkStart w:id="82" w:name="_Toc519784542"/>
      <w:bookmarkStart w:id="83" w:name="_Toc139964188"/>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4F5D65">
        <w:rPr>
          <w:noProof/>
        </w:rPr>
        <w:t>4</w:t>
      </w:r>
      <w:r w:rsidR="00651D3B">
        <w:rPr>
          <w:noProof/>
        </w:rPr>
        <w:fldChar w:fldCharType="end"/>
      </w:r>
      <w:r w:rsidR="00636057" w:rsidRPr="00EB60DF">
        <w:t>: Quota del fatturato estero sul totale</w:t>
      </w:r>
      <w:r w:rsidR="00E046A3" w:rsidRPr="00EB60DF">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rsidR="0011093B" w:rsidRDefault="0011093B" w:rsidP="003E3F4D">
      <w:pPr>
        <w:tabs>
          <w:tab w:val="left" w:pos="6043"/>
        </w:tabs>
        <w:jc w:val="center"/>
      </w:pPr>
    </w:p>
    <w:p w:rsidR="00101A2E" w:rsidRPr="00960886" w:rsidRDefault="00D64F97" w:rsidP="003E3F4D">
      <w:pPr>
        <w:tabs>
          <w:tab w:val="left" w:pos="6043"/>
        </w:tabs>
        <w:jc w:val="center"/>
        <w:rPr>
          <w:rFonts w:ascii="Verdana" w:hAnsi="Verdana"/>
          <w:b/>
          <w:sz w:val="24"/>
          <w:szCs w:val="24"/>
        </w:rPr>
      </w:pPr>
      <w:r>
        <w:rPr>
          <w:noProof/>
        </w:rPr>
        <w:drawing>
          <wp:inline distT="0" distB="0" distL="0" distR="0" wp14:anchorId="646B54BC" wp14:editId="049E8C2A">
            <wp:extent cx="5908040" cy="3775432"/>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775432"/>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Pr="00C77FAC" w:rsidRDefault="00101A2E" w:rsidP="007D46FF">
      <w:pPr>
        <w:tabs>
          <w:tab w:val="left" w:pos="6043"/>
        </w:tabs>
        <w:spacing w:line="360" w:lineRule="auto"/>
        <w:jc w:val="both"/>
        <w:rPr>
          <w:rFonts w:ascii="Verdana" w:hAnsi="Verdana"/>
          <w:b/>
          <w:sz w:val="24"/>
          <w:szCs w:val="24"/>
        </w:rPr>
      </w:pPr>
      <w:r w:rsidRPr="00C77FAC">
        <w:rPr>
          <w:rFonts w:ascii="Verdana" w:hAnsi="Verdana"/>
          <w:b/>
          <w:sz w:val="24"/>
          <w:szCs w:val="24"/>
        </w:rPr>
        <w:t>Commento:</w:t>
      </w:r>
    </w:p>
    <w:p w:rsidR="002052C2" w:rsidRDefault="00101A2E" w:rsidP="00D82094">
      <w:pPr>
        <w:pStyle w:val="Corpodeltesto2"/>
        <w:tabs>
          <w:tab w:val="left" w:pos="6043"/>
        </w:tabs>
        <w:spacing w:line="360" w:lineRule="auto"/>
        <w:rPr>
          <w:rFonts w:ascii="Verdana" w:hAnsi="Verdana"/>
          <w:sz w:val="22"/>
          <w:szCs w:val="22"/>
        </w:rPr>
      </w:pPr>
      <w:r w:rsidRPr="001A16B8">
        <w:rPr>
          <w:rFonts w:ascii="Verdana" w:hAnsi="Verdana"/>
          <w:sz w:val="22"/>
          <w:szCs w:val="22"/>
        </w:rPr>
        <w:t xml:space="preserve">La quota del fatturato estero sul totale </w:t>
      </w:r>
      <w:r w:rsidR="00D82094" w:rsidRPr="001A16B8">
        <w:rPr>
          <w:rFonts w:ascii="Verdana" w:hAnsi="Verdana"/>
          <w:sz w:val="22"/>
          <w:szCs w:val="22"/>
        </w:rPr>
        <w:t xml:space="preserve">risente del rallentamento del commercio internazionale </w:t>
      </w:r>
      <w:r w:rsidR="001A16B8" w:rsidRPr="001A16B8">
        <w:rPr>
          <w:rFonts w:ascii="Verdana" w:hAnsi="Verdana"/>
          <w:sz w:val="22"/>
          <w:szCs w:val="22"/>
        </w:rPr>
        <w:t>e, in particolare, delle difficoltà della Germania</w:t>
      </w:r>
      <w:r w:rsidR="001F7244">
        <w:rPr>
          <w:rFonts w:ascii="Verdana" w:hAnsi="Verdana"/>
          <w:sz w:val="22"/>
          <w:szCs w:val="22"/>
        </w:rPr>
        <w:t>,</w:t>
      </w:r>
      <w:r w:rsidR="001A16B8" w:rsidRPr="001A16B8">
        <w:rPr>
          <w:rFonts w:ascii="Verdana" w:hAnsi="Verdana"/>
          <w:sz w:val="22"/>
          <w:szCs w:val="22"/>
        </w:rPr>
        <w:t xml:space="preserve"> principale mercato estero per l’economia lombarda</w:t>
      </w:r>
      <w:r w:rsidR="002E13E8" w:rsidRPr="001A16B8">
        <w:rPr>
          <w:rFonts w:ascii="Verdana" w:hAnsi="Verdana"/>
          <w:sz w:val="22"/>
          <w:szCs w:val="22"/>
        </w:rPr>
        <w:t>.</w:t>
      </w:r>
      <w:r w:rsidR="001A16B8" w:rsidRPr="001A16B8">
        <w:rPr>
          <w:rFonts w:ascii="Verdana" w:hAnsi="Verdana"/>
          <w:sz w:val="22"/>
          <w:szCs w:val="22"/>
        </w:rPr>
        <w:t xml:space="preserve"> La diminuzione della quota del fatturato estero non è drammatica</w:t>
      </w:r>
      <w:r w:rsidR="001F7244">
        <w:rPr>
          <w:rFonts w:ascii="Verdana" w:hAnsi="Verdana"/>
          <w:sz w:val="22"/>
          <w:szCs w:val="22"/>
        </w:rPr>
        <w:t>,</w:t>
      </w:r>
      <w:r w:rsidR="001A16B8" w:rsidRPr="001A16B8">
        <w:rPr>
          <w:rFonts w:ascii="Verdana" w:hAnsi="Verdana"/>
          <w:sz w:val="22"/>
          <w:szCs w:val="22"/>
        </w:rPr>
        <w:t xml:space="preserve"> ma consolida un trend decrescente </w:t>
      </w:r>
      <w:r w:rsidR="009E3620" w:rsidRPr="001A16B8">
        <w:rPr>
          <w:rFonts w:ascii="Verdana" w:hAnsi="Verdana"/>
          <w:sz w:val="22"/>
          <w:szCs w:val="22"/>
        </w:rPr>
        <w:t>iniziato</w:t>
      </w:r>
      <w:r w:rsidR="001A16B8" w:rsidRPr="001A16B8">
        <w:rPr>
          <w:rFonts w:ascii="Verdana" w:hAnsi="Verdana"/>
          <w:sz w:val="22"/>
          <w:szCs w:val="22"/>
        </w:rPr>
        <w:t xml:space="preserve"> a fine 2018.</w:t>
      </w:r>
    </w:p>
    <w:p w:rsidR="00E478C2" w:rsidRDefault="008E49C6" w:rsidP="00B012FD">
      <w:pPr>
        <w:pStyle w:val="Titolo1"/>
      </w:pPr>
      <w:r w:rsidRPr="00C94BFB">
        <w:br w:type="page"/>
      </w:r>
      <w:bookmarkStart w:id="84" w:name="_Toc139965088"/>
      <w:bookmarkStart w:id="85" w:name="_Toc188872035"/>
      <w:bookmarkStart w:id="86" w:name="_Toc196627809"/>
      <w:bookmarkStart w:id="87" w:name="_Toc220839586"/>
      <w:bookmarkStart w:id="88" w:name="_Toc220839641"/>
      <w:bookmarkStart w:id="89" w:name="_Toc235938632"/>
      <w:bookmarkStart w:id="90" w:name="_Toc252269734"/>
      <w:bookmarkStart w:id="91" w:name="_Toc252269839"/>
      <w:bookmarkStart w:id="92" w:name="_Toc284233304"/>
      <w:bookmarkStart w:id="93" w:name="_Toc290904519"/>
      <w:bookmarkStart w:id="94" w:name="_Toc314834469"/>
      <w:bookmarkStart w:id="95" w:name="_Toc314834620"/>
      <w:bookmarkStart w:id="96" w:name="_Toc315172905"/>
      <w:bookmarkStart w:id="97" w:name="_Toc322961237"/>
      <w:bookmarkStart w:id="98" w:name="_Toc347398220"/>
      <w:bookmarkStart w:id="99" w:name="_Toc379205849"/>
      <w:bookmarkStart w:id="100" w:name="_Toc379291556"/>
      <w:bookmarkStart w:id="101" w:name="_Toc442172772"/>
      <w:bookmarkStart w:id="102" w:name="_Toc473641274"/>
      <w:bookmarkStart w:id="103" w:name="_Toc480443247"/>
      <w:bookmarkStart w:id="104" w:name="_Toc519784543"/>
      <w:bookmarkStart w:id="105" w:name="_Toc139964189"/>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4F5D65">
        <w:rPr>
          <w:noProof/>
        </w:rPr>
        <w:t>5</w:t>
      </w:r>
      <w:r w:rsidR="00651D3B">
        <w:rPr>
          <w:noProof/>
        </w:rPr>
        <w:fldChar w:fldCharType="end"/>
      </w:r>
      <w:r w:rsidR="00636057" w:rsidRPr="00EB60DF">
        <w:t>: Aspettative su domanda</w:t>
      </w:r>
      <w:r w:rsidR="00260F14" w:rsidRPr="00EB60DF">
        <w:t xml:space="preserve"> interna e estera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rsidR="008E49C6" w:rsidRDefault="00D64F97">
      <w:pPr>
        <w:tabs>
          <w:tab w:val="left" w:pos="6043"/>
        </w:tabs>
        <w:jc w:val="center"/>
        <w:rPr>
          <w:rFonts w:ascii="Verdana" w:hAnsi="Verdana"/>
          <w:b/>
          <w:sz w:val="24"/>
          <w:szCs w:val="24"/>
        </w:rPr>
      </w:pPr>
      <w:r w:rsidRPr="00D64F97">
        <w:rPr>
          <w:noProof/>
        </w:rPr>
        <w:drawing>
          <wp:inline distT="0" distB="0" distL="0" distR="0">
            <wp:extent cx="5908040" cy="3612170"/>
            <wp:effectExtent l="0" t="0" r="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Pr="005F15E1" w:rsidRDefault="00E102F5" w:rsidP="00E102F5">
      <w:pPr>
        <w:tabs>
          <w:tab w:val="left" w:pos="6043"/>
        </w:tabs>
        <w:spacing w:line="360" w:lineRule="auto"/>
        <w:jc w:val="both"/>
        <w:rPr>
          <w:rFonts w:ascii="Verdana" w:hAnsi="Verdana"/>
          <w:b/>
          <w:sz w:val="24"/>
          <w:szCs w:val="24"/>
        </w:rPr>
      </w:pPr>
      <w:r w:rsidRPr="005F15E1">
        <w:rPr>
          <w:rFonts w:ascii="Verdana" w:hAnsi="Verdana"/>
          <w:b/>
          <w:sz w:val="24"/>
          <w:szCs w:val="24"/>
        </w:rPr>
        <w:t>Commento:</w:t>
      </w:r>
    </w:p>
    <w:p w:rsidR="005F1F48" w:rsidRPr="00785709" w:rsidRDefault="005F1F48" w:rsidP="00F247C0">
      <w:pPr>
        <w:tabs>
          <w:tab w:val="left" w:pos="6043"/>
        </w:tabs>
        <w:spacing w:line="360" w:lineRule="auto"/>
        <w:jc w:val="both"/>
        <w:rPr>
          <w:rFonts w:ascii="Verdana" w:hAnsi="Verdana"/>
          <w:sz w:val="22"/>
          <w:szCs w:val="22"/>
        </w:rPr>
      </w:pPr>
      <w:r w:rsidRPr="009E3620">
        <w:rPr>
          <w:rFonts w:ascii="Verdana" w:hAnsi="Verdana"/>
          <w:sz w:val="22"/>
          <w:szCs w:val="22"/>
        </w:rPr>
        <w:t xml:space="preserve">Le aspettative degli imprenditori sulla domanda </w:t>
      </w:r>
      <w:r w:rsidR="005E7CEE" w:rsidRPr="009E3620">
        <w:rPr>
          <w:rFonts w:ascii="Verdana" w:hAnsi="Verdana"/>
          <w:sz w:val="22"/>
          <w:szCs w:val="22"/>
        </w:rPr>
        <w:t>sono</w:t>
      </w:r>
      <w:r w:rsidR="002B62C9" w:rsidRPr="009E3620">
        <w:rPr>
          <w:rFonts w:ascii="Verdana" w:hAnsi="Verdana"/>
          <w:sz w:val="22"/>
          <w:szCs w:val="22"/>
        </w:rPr>
        <w:t xml:space="preserve"> </w:t>
      </w:r>
      <w:r w:rsidR="00B0638C" w:rsidRPr="009E3620">
        <w:rPr>
          <w:rFonts w:ascii="Verdana" w:hAnsi="Verdana"/>
          <w:sz w:val="22"/>
          <w:szCs w:val="22"/>
        </w:rPr>
        <w:t xml:space="preserve">in </w:t>
      </w:r>
      <w:r w:rsidR="009E3620" w:rsidRPr="009E3620">
        <w:rPr>
          <w:rFonts w:ascii="Verdana" w:hAnsi="Verdana"/>
          <w:sz w:val="22"/>
          <w:szCs w:val="22"/>
        </w:rPr>
        <w:t>peggioramento</w:t>
      </w:r>
      <w:r w:rsidR="00D82094" w:rsidRPr="009E3620">
        <w:rPr>
          <w:rFonts w:ascii="Verdana" w:hAnsi="Verdana"/>
          <w:sz w:val="22"/>
          <w:szCs w:val="22"/>
        </w:rPr>
        <w:t xml:space="preserve"> </w:t>
      </w:r>
      <w:r w:rsidR="00BC6DF2" w:rsidRPr="009E3620">
        <w:rPr>
          <w:rFonts w:ascii="Verdana" w:hAnsi="Verdana"/>
          <w:sz w:val="22"/>
          <w:szCs w:val="22"/>
        </w:rPr>
        <w:t>per entrambi i mercati</w:t>
      </w:r>
      <w:r w:rsidR="00D82094" w:rsidRPr="009E3620">
        <w:rPr>
          <w:rFonts w:ascii="Verdana" w:hAnsi="Verdana"/>
          <w:sz w:val="22"/>
          <w:szCs w:val="22"/>
        </w:rPr>
        <w:t xml:space="preserve">, </w:t>
      </w:r>
      <w:r w:rsidR="00C908F5" w:rsidRPr="009E3620">
        <w:rPr>
          <w:rFonts w:ascii="Verdana" w:hAnsi="Verdana"/>
          <w:sz w:val="22"/>
          <w:szCs w:val="22"/>
        </w:rPr>
        <w:t xml:space="preserve">in linea con l’ipotesi </w:t>
      </w:r>
      <w:r w:rsidR="009E3620" w:rsidRPr="009E3620">
        <w:rPr>
          <w:rFonts w:ascii="Verdana" w:hAnsi="Verdana"/>
          <w:sz w:val="22"/>
          <w:szCs w:val="22"/>
        </w:rPr>
        <w:t>di un</w:t>
      </w:r>
      <w:r w:rsidR="00C908F5" w:rsidRPr="009E3620">
        <w:rPr>
          <w:rFonts w:ascii="Verdana" w:hAnsi="Verdana"/>
          <w:sz w:val="22"/>
          <w:szCs w:val="22"/>
        </w:rPr>
        <w:t xml:space="preserve"> rallentamento </w:t>
      </w:r>
      <w:r w:rsidR="009E3620" w:rsidRPr="009E3620">
        <w:rPr>
          <w:rFonts w:ascii="Verdana" w:hAnsi="Verdana"/>
          <w:sz w:val="22"/>
          <w:szCs w:val="22"/>
        </w:rPr>
        <w:t xml:space="preserve">significativo </w:t>
      </w:r>
      <w:r w:rsidR="00C908F5" w:rsidRPr="009E3620">
        <w:rPr>
          <w:rFonts w:ascii="Verdana" w:hAnsi="Verdana"/>
          <w:sz w:val="22"/>
          <w:szCs w:val="22"/>
        </w:rPr>
        <w:t xml:space="preserve">del commercio mondiale </w:t>
      </w:r>
      <w:r w:rsidR="009E3620" w:rsidRPr="009E3620">
        <w:rPr>
          <w:rFonts w:ascii="Verdana" w:hAnsi="Verdana"/>
          <w:sz w:val="22"/>
          <w:szCs w:val="22"/>
        </w:rPr>
        <w:t>per il</w:t>
      </w:r>
      <w:r w:rsidR="00396739" w:rsidRPr="009E3620">
        <w:rPr>
          <w:rFonts w:ascii="Verdana" w:hAnsi="Verdana"/>
          <w:sz w:val="22"/>
          <w:szCs w:val="22"/>
        </w:rPr>
        <w:t xml:space="preserve"> 2019</w:t>
      </w:r>
      <w:r w:rsidR="00BC6DF2" w:rsidRPr="009E3620">
        <w:rPr>
          <w:rFonts w:ascii="Verdana" w:hAnsi="Verdana"/>
          <w:sz w:val="22"/>
          <w:szCs w:val="22"/>
        </w:rPr>
        <w:t>. Q</w:t>
      </w:r>
      <w:r w:rsidR="005F15E1" w:rsidRPr="009E3620">
        <w:rPr>
          <w:rFonts w:ascii="Verdana" w:hAnsi="Verdana"/>
          <w:sz w:val="22"/>
          <w:szCs w:val="22"/>
        </w:rPr>
        <w:t>uelle sulla domanda intern</w:t>
      </w:r>
      <w:r w:rsidR="002B2AA9" w:rsidRPr="009E3620">
        <w:rPr>
          <w:rFonts w:ascii="Verdana" w:hAnsi="Verdana"/>
          <w:sz w:val="22"/>
          <w:szCs w:val="22"/>
        </w:rPr>
        <w:t>a</w:t>
      </w:r>
      <w:r w:rsidR="009E3620" w:rsidRPr="009E3620">
        <w:rPr>
          <w:rFonts w:ascii="Verdana" w:hAnsi="Verdana"/>
          <w:sz w:val="22"/>
          <w:szCs w:val="22"/>
        </w:rPr>
        <w:t xml:space="preserve"> proseguono il cammino in </w:t>
      </w:r>
      <w:r w:rsidR="00BC6DF2" w:rsidRPr="009E3620">
        <w:rPr>
          <w:rFonts w:ascii="Verdana" w:hAnsi="Verdana"/>
          <w:sz w:val="22"/>
          <w:szCs w:val="22"/>
        </w:rPr>
        <w:t>territorio negativo</w:t>
      </w:r>
      <w:r w:rsidR="005F15E1" w:rsidRPr="009E3620">
        <w:rPr>
          <w:rFonts w:ascii="Verdana" w:hAnsi="Verdana"/>
          <w:sz w:val="22"/>
          <w:szCs w:val="22"/>
        </w:rPr>
        <w:t xml:space="preserve"> </w:t>
      </w:r>
      <w:r w:rsidR="009E3620" w:rsidRPr="009E3620">
        <w:rPr>
          <w:rFonts w:ascii="Verdana" w:hAnsi="Verdana"/>
          <w:sz w:val="22"/>
          <w:szCs w:val="22"/>
        </w:rPr>
        <w:t>rimarcando</w:t>
      </w:r>
      <w:r w:rsidR="00C908F5" w:rsidRPr="009E3620">
        <w:rPr>
          <w:rFonts w:ascii="Verdana" w:hAnsi="Verdana"/>
          <w:sz w:val="22"/>
          <w:szCs w:val="22"/>
        </w:rPr>
        <w:t xml:space="preserve"> la debolezza dell’economia nazionale</w:t>
      </w:r>
      <w:r w:rsidR="001F7244">
        <w:rPr>
          <w:rFonts w:ascii="Verdana" w:hAnsi="Verdana"/>
          <w:sz w:val="22"/>
          <w:szCs w:val="22"/>
        </w:rPr>
        <w:t>,</w:t>
      </w:r>
      <w:r w:rsidR="009E3620" w:rsidRPr="009E3620">
        <w:rPr>
          <w:rFonts w:ascii="Verdana" w:hAnsi="Verdana"/>
          <w:sz w:val="22"/>
          <w:szCs w:val="22"/>
        </w:rPr>
        <w:t xml:space="preserve"> mentre quelle sulla domanda estera mostrano un saldo nullo con il 20% di aziende che prevede in aumento e un identico 20% che prevede una diminuzione</w:t>
      </w:r>
      <w:r w:rsidR="00DE5924" w:rsidRPr="009E3620">
        <w:rPr>
          <w:rFonts w:ascii="Verdana" w:hAnsi="Verdana"/>
          <w:sz w:val="22"/>
          <w:szCs w:val="22"/>
        </w:rPr>
        <w:t xml:space="preserve">. </w:t>
      </w:r>
      <w:r w:rsidR="00BC5861" w:rsidRPr="009E3620">
        <w:rPr>
          <w:rFonts w:ascii="Verdana" w:hAnsi="Verdana"/>
          <w:sz w:val="22"/>
          <w:szCs w:val="22"/>
        </w:rPr>
        <w:t>La quota di imprese che non prevedono variazioni per gli ordini</w:t>
      </w:r>
      <w:r w:rsidR="009E3620" w:rsidRPr="009E3620">
        <w:rPr>
          <w:rFonts w:ascii="Verdana" w:hAnsi="Verdana"/>
          <w:sz w:val="22"/>
          <w:szCs w:val="22"/>
        </w:rPr>
        <w:t xml:space="preserve"> interni</w:t>
      </w:r>
      <w:r w:rsidR="00BC5861" w:rsidRPr="009E3620">
        <w:rPr>
          <w:rFonts w:ascii="Verdana" w:hAnsi="Verdana"/>
          <w:sz w:val="22"/>
          <w:szCs w:val="22"/>
        </w:rPr>
        <w:t xml:space="preserve"> rimane intorno al 6</w:t>
      </w:r>
      <w:r w:rsidR="009E3620" w:rsidRPr="009E3620">
        <w:rPr>
          <w:rFonts w:ascii="Verdana" w:hAnsi="Verdana"/>
          <w:sz w:val="22"/>
          <w:szCs w:val="22"/>
        </w:rPr>
        <w:t>4</w:t>
      </w:r>
      <w:r w:rsidR="00BC5861" w:rsidRPr="009E3620">
        <w:rPr>
          <w:rFonts w:ascii="Verdana" w:hAnsi="Verdana"/>
          <w:sz w:val="22"/>
          <w:szCs w:val="22"/>
        </w:rPr>
        <w:t xml:space="preserve">% </w:t>
      </w:r>
      <w:r w:rsidR="00DE5924" w:rsidRPr="009E3620">
        <w:rPr>
          <w:rFonts w:ascii="Verdana" w:hAnsi="Verdana"/>
          <w:sz w:val="22"/>
          <w:szCs w:val="22"/>
        </w:rPr>
        <w:t xml:space="preserve">per quanto riguarda il mercato </w:t>
      </w:r>
      <w:r w:rsidR="00C908F5" w:rsidRPr="009E3620">
        <w:rPr>
          <w:rFonts w:ascii="Verdana" w:hAnsi="Verdana"/>
          <w:sz w:val="22"/>
          <w:szCs w:val="22"/>
        </w:rPr>
        <w:t>interno</w:t>
      </w:r>
      <w:r w:rsidR="00A23C82">
        <w:rPr>
          <w:rFonts w:ascii="Verdana" w:hAnsi="Verdana"/>
          <w:sz w:val="22"/>
          <w:szCs w:val="22"/>
        </w:rPr>
        <w:t>, e il 60% per l’estero</w:t>
      </w:r>
      <w:r w:rsidR="00BC5861" w:rsidRPr="009E3620">
        <w:rPr>
          <w:rFonts w:ascii="Verdana" w:hAnsi="Verdana"/>
          <w:sz w:val="22"/>
          <w:szCs w:val="22"/>
        </w:rPr>
        <w:t>.</w:t>
      </w:r>
    </w:p>
    <w:p w:rsidR="008E49C6" w:rsidRPr="00EB60DF" w:rsidRDefault="00636057" w:rsidP="00B012FD">
      <w:pPr>
        <w:pStyle w:val="Titolo1"/>
      </w:pPr>
      <w:bookmarkStart w:id="106" w:name="_Toc188872036"/>
      <w:bookmarkStart w:id="107" w:name="_Toc196627810"/>
      <w:bookmarkStart w:id="108" w:name="_Toc220839587"/>
      <w:bookmarkStart w:id="109" w:name="_Toc220839642"/>
      <w:bookmarkStart w:id="110" w:name="_Toc235938633"/>
      <w:bookmarkStart w:id="111" w:name="_Toc252269735"/>
      <w:bookmarkStart w:id="112" w:name="_Toc252269840"/>
      <w:bookmarkStart w:id="113" w:name="_Toc284233305"/>
      <w:bookmarkStart w:id="114" w:name="_Toc290904520"/>
      <w:bookmarkStart w:id="115" w:name="_Toc314834470"/>
      <w:bookmarkStart w:id="116" w:name="_Toc314834621"/>
      <w:bookmarkStart w:id="117" w:name="_Toc315172906"/>
      <w:bookmarkStart w:id="118" w:name="_Toc322961238"/>
      <w:bookmarkStart w:id="119" w:name="_Toc347398221"/>
      <w:bookmarkStart w:id="120" w:name="_Toc379205850"/>
      <w:bookmarkStart w:id="121" w:name="_Toc379291557"/>
      <w:bookmarkStart w:id="122" w:name="_Toc442172773"/>
      <w:bookmarkStart w:id="123" w:name="_Toc473641275"/>
      <w:bookmarkStart w:id="124" w:name="_Toc480443248"/>
      <w:bookmarkStart w:id="125" w:name="_Toc519784544"/>
      <w:r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4F5D65">
        <w:rPr>
          <w:noProof/>
        </w:rPr>
        <w:t>6</w:t>
      </w:r>
      <w:r w:rsidR="00651D3B">
        <w:rPr>
          <w:noProof/>
        </w:rPr>
        <w:fldChar w:fldCharType="end"/>
      </w:r>
      <w:r w:rsidRPr="00EB60DF">
        <w:t>: Aspettative su produzione</w:t>
      </w:r>
      <w:r w:rsidR="009537B3">
        <w:t xml:space="preserve"> e</w:t>
      </w:r>
      <w:r w:rsidRPr="00EB60DF">
        <w:t xml:space="preserve"> occupazione.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42091" w:rsidRDefault="00EE5E6D" w:rsidP="00061005">
      <w:pPr>
        <w:tabs>
          <w:tab w:val="left" w:pos="6043"/>
        </w:tabs>
        <w:jc w:val="center"/>
        <w:rPr>
          <w:rFonts w:ascii="Verdana" w:hAnsi="Verdana"/>
          <w:b/>
          <w:sz w:val="24"/>
          <w:szCs w:val="24"/>
        </w:rPr>
      </w:pPr>
      <w:r w:rsidRPr="00EE5E6D">
        <w:rPr>
          <w:noProof/>
        </w:rPr>
        <w:drawing>
          <wp:inline distT="0" distB="0" distL="0" distR="0">
            <wp:extent cx="5908040" cy="3612170"/>
            <wp:effectExtent l="0" t="0" r="0" b="762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50713A" w:rsidRDefault="0050713A"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E102F5" w:rsidRPr="00595426" w:rsidRDefault="00E102F5" w:rsidP="00E102F5">
      <w:pPr>
        <w:tabs>
          <w:tab w:val="left" w:pos="6043"/>
        </w:tabs>
        <w:spacing w:line="360" w:lineRule="auto"/>
        <w:jc w:val="both"/>
        <w:rPr>
          <w:rFonts w:ascii="Verdana" w:hAnsi="Verdana"/>
          <w:b/>
          <w:sz w:val="24"/>
          <w:szCs w:val="24"/>
        </w:rPr>
      </w:pPr>
      <w:r w:rsidRPr="00595426">
        <w:rPr>
          <w:rFonts w:ascii="Verdana" w:hAnsi="Verdana"/>
          <w:b/>
          <w:sz w:val="24"/>
          <w:szCs w:val="24"/>
        </w:rPr>
        <w:t>Commento:</w:t>
      </w:r>
    </w:p>
    <w:p w:rsidR="00EA6624" w:rsidRDefault="00A26D0B" w:rsidP="00AE3B94">
      <w:pPr>
        <w:tabs>
          <w:tab w:val="left" w:pos="6043"/>
        </w:tabs>
        <w:spacing w:line="360" w:lineRule="auto"/>
        <w:jc w:val="both"/>
        <w:rPr>
          <w:rFonts w:ascii="Verdana" w:hAnsi="Verdana"/>
          <w:sz w:val="22"/>
          <w:szCs w:val="22"/>
        </w:rPr>
      </w:pPr>
      <w:r w:rsidRPr="00595426">
        <w:rPr>
          <w:rFonts w:ascii="Verdana" w:hAnsi="Verdana"/>
          <w:sz w:val="22"/>
          <w:szCs w:val="22"/>
        </w:rPr>
        <w:t>Per i</w:t>
      </w:r>
      <w:r w:rsidR="00D30DA6" w:rsidRPr="00595426">
        <w:rPr>
          <w:rFonts w:ascii="Verdana" w:hAnsi="Verdana"/>
          <w:sz w:val="22"/>
          <w:szCs w:val="22"/>
        </w:rPr>
        <w:t>l</w:t>
      </w:r>
      <w:r w:rsidRPr="00595426">
        <w:rPr>
          <w:rFonts w:ascii="Verdana" w:hAnsi="Verdana"/>
          <w:sz w:val="22"/>
          <w:szCs w:val="22"/>
        </w:rPr>
        <w:t xml:space="preserve"> prossimo trimestre le aspettative sulla produzione</w:t>
      </w:r>
      <w:r w:rsidR="00EA6624" w:rsidRPr="00595426">
        <w:rPr>
          <w:rFonts w:ascii="Verdana" w:hAnsi="Verdana"/>
          <w:sz w:val="22"/>
          <w:szCs w:val="22"/>
        </w:rPr>
        <w:t xml:space="preserve"> registrano un </w:t>
      </w:r>
      <w:r w:rsidR="001F7244" w:rsidRPr="00595426">
        <w:rPr>
          <w:rFonts w:ascii="Verdana" w:hAnsi="Verdana"/>
          <w:sz w:val="22"/>
          <w:szCs w:val="22"/>
        </w:rPr>
        <w:t>miglioramento</w:t>
      </w:r>
      <w:r w:rsidR="00595426">
        <w:rPr>
          <w:rFonts w:ascii="Verdana" w:hAnsi="Verdana"/>
          <w:sz w:val="22"/>
          <w:szCs w:val="22"/>
        </w:rPr>
        <w:t>,</w:t>
      </w:r>
      <w:r w:rsidR="00EA6624" w:rsidRPr="00595426">
        <w:rPr>
          <w:rFonts w:ascii="Verdana" w:hAnsi="Verdana"/>
          <w:sz w:val="22"/>
          <w:szCs w:val="22"/>
        </w:rPr>
        <w:t xml:space="preserve"> </w:t>
      </w:r>
      <w:r w:rsidR="001F7244" w:rsidRPr="00595426">
        <w:rPr>
          <w:rFonts w:ascii="Verdana" w:hAnsi="Verdana"/>
          <w:sz w:val="22"/>
          <w:szCs w:val="22"/>
        </w:rPr>
        <w:t>tornando nel quadrante positivo</w:t>
      </w:r>
      <w:r w:rsidR="00595426">
        <w:rPr>
          <w:rFonts w:ascii="Verdana" w:hAnsi="Verdana"/>
          <w:sz w:val="22"/>
          <w:szCs w:val="22"/>
        </w:rPr>
        <w:t>,</w:t>
      </w:r>
      <w:r w:rsidR="00595426" w:rsidRPr="00595426">
        <w:rPr>
          <w:rFonts w:ascii="Verdana" w:hAnsi="Verdana"/>
          <w:sz w:val="22"/>
          <w:szCs w:val="22"/>
        </w:rPr>
        <w:t xml:space="preserve"> mentre relativamente all’occupazione l</w:t>
      </w:r>
      <w:r w:rsidR="00EA6624" w:rsidRPr="00595426">
        <w:rPr>
          <w:rFonts w:ascii="Verdana" w:hAnsi="Verdana"/>
          <w:sz w:val="22"/>
          <w:szCs w:val="22"/>
        </w:rPr>
        <w:t xml:space="preserve">e aspettative </w:t>
      </w:r>
      <w:r w:rsidR="00595426" w:rsidRPr="00595426">
        <w:rPr>
          <w:rFonts w:ascii="Verdana" w:hAnsi="Verdana"/>
          <w:sz w:val="22"/>
          <w:szCs w:val="22"/>
        </w:rPr>
        <w:t>degli imprenditori</w:t>
      </w:r>
      <w:r w:rsidR="00EA6624" w:rsidRPr="00595426">
        <w:rPr>
          <w:rFonts w:ascii="Verdana" w:hAnsi="Verdana"/>
          <w:sz w:val="22"/>
          <w:szCs w:val="22"/>
        </w:rPr>
        <w:t xml:space="preserve"> </w:t>
      </w:r>
      <w:r w:rsidR="00595426" w:rsidRPr="00595426">
        <w:rPr>
          <w:rFonts w:ascii="Verdana" w:hAnsi="Verdana"/>
          <w:sz w:val="22"/>
          <w:szCs w:val="22"/>
        </w:rPr>
        <w:t xml:space="preserve">tornato negative </w:t>
      </w:r>
      <w:r w:rsidR="00595426">
        <w:rPr>
          <w:rFonts w:ascii="Verdana" w:hAnsi="Verdana"/>
          <w:sz w:val="22"/>
          <w:szCs w:val="22"/>
        </w:rPr>
        <w:t>confermando il peggioramento già evidenziato lo scorso trimestre</w:t>
      </w:r>
      <w:r w:rsidR="0023506C" w:rsidRPr="00595426">
        <w:rPr>
          <w:rFonts w:ascii="Verdana" w:hAnsi="Verdana"/>
          <w:sz w:val="22"/>
          <w:szCs w:val="22"/>
        </w:rPr>
        <w:t>.</w:t>
      </w: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23506C" w:rsidRDefault="0023506C"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595426" w:rsidRDefault="00595426" w:rsidP="00AE3B94">
      <w:pPr>
        <w:tabs>
          <w:tab w:val="left" w:pos="6043"/>
        </w:tabs>
        <w:spacing w:line="360" w:lineRule="auto"/>
        <w:jc w:val="both"/>
        <w:rPr>
          <w:rFonts w:ascii="Verdana" w:hAnsi="Verdana"/>
          <w:sz w:val="22"/>
          <w:szCs w:val="22"/>
        </w:rPr>
      </w:pPr>
    </w:p>
    <w:p w:rsidR="00595426" w:rsidRDefault="00595426"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6" w:name="_Toc139964190"/>
      <w:bookmarkStart w:id="127" w:name="_Toc139965089"/>
      <w:bookmarkStart w:id="128" w:name="_Toc139967822"/>
      <w:bookmarkStart w:id="129" w:name="_Toc519784545"/>
      <w:r w:rsidRPr="00C94BFB">
        <w:lastRenderedPageBreak/>
        <w:t>Note metodologiche:</w:t>
      </w:r>
      <w:bookmarkEnd w:id="126"/>
      <w:bookmarkEnd w:id="127"/>
      <w:bookmarkEnd w:id="128"/>
      <w:bookmarkEnd w:id="129"/>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w:t>
      </w:r>
      <w:r w:rsidR="00D770C8">
        <w:rPr>
          <w:rFonts w:ascii="Verdana" w:hAnsi="Verdana"/>
          <w:sz w:val="20"/>
        </w:rPr>
        <w:t xml:space="preserve"> </w:t>
      </w:r>
      <w:r w:rsidR="00C21D5B" w:rsidRPr="0007665B">
        <w:rPr>
          <w:rFonts w:ascii="Verdana" w:hAnsi="Verdana"/>
          <w:sz w:val="20"/>
        </w:rPr>
        <w:t>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w:t>
      </w:r>
      <w:r w:rsidR="00512468" w:rsidRPr="0007665B">
        <w:rPr>
          <w:rFonts w:ascii="Verdana" w:hAnsi="Verdana"/>
          <w:sz w:val="20"/>
        </w:rPr>
        <w:t>lombarde</w:t>
      </w:r>
      <w:r w:rsidR="00512468">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xml:space="preserve">, che è correntemente impiegata dai principali istituti di ricerca nazionali e internazionali (EUROSTAT, ISTAT, ISAE, ecc.). Gli interventi effettuati sulle serie sono: correzione automatica degli </w:t>
      </w:r>
      <w:proofErr w:type="spellStart"/>
      <w:r w:rsidRPr="0007665B">
        <w:rPr>
          <w:rFonts w:ascii="Verdana" w:hAnsi="Verdana"/>
          <w:sz w:val="20"/>
        </w:rPr>
        <w:t>outliers</w:t>
      </w:r>
      <w:proofErr w:type="spellEnd"/>
      <w:r w:rsidRPr="0007665B">
        <w:rPr>
          <w:rFonts w:ascii="Verdana" w:hAnsi="Verdana"/>
          <w:sz w:val="20"/>
        </w:rPr>
        <w:t xml:space="preserve"> (Additive </w:t>
      </w:r>
      <w:proofErr w:type="spellStart"/>
      <w:r w:rsidRPr="0007665B">
        <w:rPr>
          <w:rFonts w:ascii="Verdana" w:hAnsi="Verdana"/>
          <w:sz w:val="20"/>
        </w:rPr>
        <w:t>Outliers</w:t>
      </w:r>
      <w:proofErr w:type="spellEnd"/>
      <w:r w:rsidRPr="0007665B">
        <w:rPr>
          <w:rFonts w:ascii="Verdana" w:hAnsi="Verdana"/>
          <w:sz w:val="20"/>
        </w:rPr>
        <w:t>; Le</w:t>
      </w:r>
      <w:r w:rsidR="00F0125A">
        <w:rPr>
          <w:rFonts w:ascii="Verdana" w:hAnsi="Verdana"/>
          <w:sz w:val="20"/>
        </w:rPr>
        <w:t xml:space="preserve">vel Shift e </w:t>
      </w:r>
      <w:proofErr w:type="spellStart"/>
      <w:r w:rsidR="00F0125A">
        <w:rPr>
          <w:rFonts w:ascii="Verdana" w:hAnsi="Verdana"/>
          <w:sz w:val="20"/>
        </w:rPr>
        <w:t>Transitory</w:t>
      </w:r>
      <w:proofErr w:type="spellEnd"/>
      <w:r w:rsidR="00F0125A">
        <w:rPr>
          <w:rFonts w:ascii="Verdana" w:hAnsi="Verdana"/>
          <w:sz w:val="20"/>
        </w:rPr>
        <w:t xml:space="preserve"> </w:t>
      </w:r>
      <w:proofErr w:type="spellStart"/>
      <w:r w:rsidR="00F0125A">
        <w:rPr>
          <w:rFonts w:ascii="Verdana" w:hAnsi="Verdana"/>
          <w:sz w:val="20"/>
        </w:rPr>
        <w:t>Change</w:t>
      </w:r>
      <w:proofErr w:type="spellEnd"/>
      <w:r w:rsidR="00F0125A">
        <w:rPr>
          <w:rFonts w:ascii="Verdana" w:hAnsi="Verdana"/>
          <w:sz w:val="20"/>
        </w:rPr>
        <w:t>) eliminazione della componente stagionale</w:t>
      </w:r>
      <w:r w:rsidR="00100A00" w:rsidRPr="0007665B">
        <w:rPr>
          <w:rFonts w:ascii="Verdana" w:hAnsi="Verdana"/>
          <w:sz w:val="20"/>
        </w:rPr>
        <w:t xml:space="preserve">. </w:t>
      </w:r>
      <w:r w:rsidR="00D770C8" w:rsidRPr="0007665B">
        <w:rPr>
          <w:rFonts w:ascii="Verdana" w:hAnsi="Verdana"/>
          <w:sz w:val="20"/>
        </w:rPr>
        <w:t>È</w:t>
      </w:r>
      <w:r w:rsidRPr="0007665B">
        <w:rPr>
          <w:rFonts w:ascii="Verdana" w:hAnsi="Verdana"/>
          <w:sz w:val="20"/>
        </w:rPr>
        <w:t xml:space="preserv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0" w:name="_Toc181000671"/>
      <w:r>
        <w:br w:type="page"/>
      </w:r>
    </w:p>
    <w:p w:rsidR="00137E04" w:rsidRPr="006F486D" w:rsidRDefault="00137E04" w:rsidP="00B012FD">
      <w:pPr>
        <w:pStyle w:val="Titolo1"/>
      </w:pPr>
      <w:bookmarkStart w:id="131" w:name="_Toc519784546"/>
      <w:r w:rsidRPr="006F486D">
        <w:lastRenderedPageBreak/>
        <w:t>GLOSSARIO</w:t>
      </w:r>
      <w:bookmarkEnd w:id="130"/>
      <w:bookmarkEnd w:id="131"/>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7D135E">
      <w:pPr>
        <w:tabs>
          <w:tab w:val="left" w:pos="6043"/>
        </w:tabs>
        <w:ind w:right="567"/>
        <w:jc w:val="both"/>
        <w:rPr>
          <w:rFonts w:ascii="Verdana" w:hAnsi="Verdana"/>
          <w:sz w:val="22"/>
        </w:rPr>
      </w:pPr>
    </w:p>
    <w:sectPr w:rsidR="00137E04" w:rsidRPr="006F486D" w:rsidSect="00515CA4">
      <w:headerReference w:type="first" r:id="rId18"/>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DB7" w:rsidRDefault="001B4DB7">
      <w:r>
        <w:separator/>
      </w:r>
    </w:p>
  </w:endnote>
  <w:endnote w:type="continuationSeparator" w:id="0">
    <w:p w:rsidR="001B4DB7" w:rsidRDefault="001B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E3" w:rsidRDefault="002526E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2526E3" w:rsidRDefault="002526E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E3" w:rsidRDefault="002526E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63285">
      <w:rPr>
        <w:rStyle w:val="Numeropagina"/>
        <w:noProof/>
      </w:rPr>
      <w:t>16</w:t>
    </w:r>
    <w:r>
      <w:rPr>
        <w:rStyle w:val="Numeropagina"/>
      </w:rPr>
      <w:fldChar w:fldCharType="end"/>
    </w:r>
  </w:p>
  <w:p w:rsidR="002526E3" w:rsidRDefault="002526E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DB7" w:rsidRDefault="001B4DB7">
      <w:r>
        <w:separator/>
      </w:r>
    </w:p>
  </w:footnote>
  <w:footnote w:type="continuationSeparator" w:id="0">
    <w:p w:rsidR="001B4DB7" w:rsidRDefault="001B4DB7">
      <w:r>
        <w:continuationSeparator/>
      </w:r>
    </w:p>
  </w:footnote>
  <w:footnote w:id="1">
    <w:p w:rsidR="002526E3" w:rsidRDefault="002526E3">
      <w:pPr>
        <w:pStyle w:val="Testonotaapidipagina"/>
      </w:pPr>
      <w:r>
        <w:footnoteRef/>
      </w:r>
      <w:r>
        <w:t xml:space="preserve"> Il campione industria comprende aziende con più di 10 addetti, mentre il campione artigiano comprende imprese con più di 3 addetti.</w:t>
      </w:r>
    </w:p>
  </w:footnote>
  <w:footnote w:id="2">
    <w:p w:rsidR="002526E3" w:rsidRDefault="002526E3">
      <w:pPr>
        <w:pStyle w:val="Testonotaapidipagina"/>
        <w:rPr>
          <w:lang w:val="en-GB"/>
        </w:rPr>
      </w:pPr>
      <w:r>
        <w:footnoteRef/>
      </w:r>
      <w:r>
        <w:rPr>
          <w:lang w:val="en-GB"/>
        </w:rPr>
        <w:t xml:space="preserve"> C.A.T.I.: Computer Assisted Telephone Interview. C.A.W.I.: Computer Assisted Web Interview.</w:t>
      </w:r>
    </w:p>
  </w:footnote>
  <w:footnote w:id="3">
    <w:p w:rsidR="002526E3" w:rsidRDefault="002526E3">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2526E3" w:rsidRDefault="002526E3">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2526E3" w:rsidRDefault="002526E3">
      <w:pPr>
        <w:pStyle w:val="Testonotaapidipagina"/>
      </w:pPr>
      <w:r>
        <w:rPr>
          <w:sz w:val="16"/>
        </w:rPr>
        <w:footnoteRef/>
      </w:r>
      <w:r>
        <w:t xml:space="preserve"> Beni di consumo finali, beni di investimento e beni di consumo intermedi.</w:t>
      </w:r>
    </w:p>
  </w:footnote>
  <w:footnote w:id="6">
    <w:p w:rsidR="002526E3" w:rsidRDefault="002526E3">
      <w:pPr>
        <w:pStyle w:val="Testonotaapidipagina"/>
      </w:pPr>
      <w:r>
        <w:rPr>
          <w:sz w:val="16"/>
        </w:rPr>
        <w:footnoteRef/>
      </w:r>
      <w:r>
        <w:t xml:space="preserve"> TRAMO-SEATS è un metodo model-based in cui l’estrazione delle componenti viene effettuata utilizzando un filtro ottimo ricavato dal modello ARIMA che meglio si adatta alla serie di dati.</w:t>
      </w:r>
    </w:p>
  </w:footnote>
  <w:footnote w:id="7">
    <w:p w:rsidR="002526E3" w:rsidRDefault="002526E3">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E3" w:rsidRDefault="002526E3"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E3" w:rsidRDefault="002526E3">
    <w:pPr>
      <w:pStyle w:val="Intestazione"/>
    </w:pPr>
    <w:r>
      <w:rPr>
        <w:noProof/>
      </w:rPr>
      <w:drawing>
        <wp:inline distT="0" distB="0" distL="0" distR="0">
          <wp:extent cx="1571625" cy="561975"/>
          <wp:effectExtent l="0" t="0" r="9525" b="9525"/>
          <wp:docPr id="4" name="Immagine 4"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AC"/>
    <w:rsid w:val="00000C5A"/>
    <w:rsid w:val="0000122A"/>
    <w:rsid w:val="000036D0"/>
    <w:rsid w:val="0000456C"/>
    <w:rsid w:val="00006662"/>
    <w:rsid w:val="000066F1"/>
    <w:rsid w:val="0000711C"/>
    <w:rsid w:val="000078A6"/>
    <w:rsid w:val="00010B1D"/>
    <w:rsid w:val="00010C79"/>
    <w:rsid w:val="00011CC1"/>
    <w:rsid w:val="00012CC3"/>
    <w:rsid w:val="000131F1"/>
    <w:rsid w:val="000133C1"/>
    <w:rsid w:val="00013EC9"/>
    <w:rsid w:val="00014410"/>
    <w:rsid w:val="00014771"/>
    <w:rsid w:val="00015202"/>
    <w:rsid w:val="000155FA"/>
    <w:rsid w:val="0001621F"/>
    <w:rsid w:val="00016872"/>
    <w:rsid w:val="00016E09"/>
    <w:rsid w:val="00020880"/>
    <w:rsid w:val="0002096A"/>
    <w:rsid w:val="00021036"/>
    <w:rsid w:val="000214D6"/>
    <w:rsid w:val="00021FD6"/>
    <w:rsid w:val="0002267B"/>
    <w:rsid w:val="00022DA5"/>
    <w:rsid w:val="00023480"/>
    <w:rsid w:val="00023994"/>
    <w:rsid w:val="000239B3"/>
    <w:rsid w:val="00025C29"/>
    <w:rsid w:val="00025D90"/>
    <w:rsid w:val="0002639A"/>
    <w:rsid w:val="0002639B"/>
    <w:rsid w:val="00026D43"/>
    <w:rsid w:val="00027568"/>
    <w:rsid w:val="000276C8"/>
    <w:rsid w:val="000278EC"/>
    <w:rsid w:val="00027B5D"/>
    <w:rsid w:val="00030017"/>
    <w:rsid w:val="00030410"/>
    <w:rsid w:val="000305B4"/>
    <w:rsid w:val="00031B36"/>
    <w:rsid w:val="00032C07"/>
    <w:rsid w:val="00032CC6"/>
    <w:rsid w:val="00032F57"/>
    <w:rsid w:val="00033279"/>
    <w:rsid w:val="000337E2"/>
    <w:rsid w:val="00033AFD"/>
    <w:rsid w:val="000348E6"/>
    <w:rsid w:val="00035257"/>
    <w:rsid w:val="0003558D"/>
    <w:rsid w:val="00035823"/>
    <w:rsid w:val="00036550"/>
    <w:rsid w:val="000365F7"/>
    <w:rsid w:val="000366C5"/>
    <w:rsid w:val="000369D5"/>
    <w:rsid w:val="00036BE7"/>
    <w:rsid w:val="00037072"/>
    <w:rsid w:val="00037501"/>
    <w:rsid w:val="00037D8C"/>
    <w:rsid w:val="00037FAC"/>
    <w:rsid w:val="00040B94"/>
    <w:rsid w:val="00040FEF"/>
    <w:rsid w:val="0004110C"/>
    <w:rsid w:val="00041768"/>
    <w:rsid w:val="000417E4"/>
    <w:rsid w:val="00041CBC"/>
    <w:rsid w:val="00042091"/>
    <w:rsid w:val="0004222F"/>
    <w:rsid w:val="000428DD"/>
    <w:rsid w:val="00042938"/>
    <w:rsid w:val="00042D04"/>
    <w:rsid w:val="00043B5D"/>
    <w:rsid w:val="00043E0E"/>
    <w:rsid w:val="00044111"/>
    <w:rsid w:val="00044376"/>
    <w:rsid w:val="00044BB1"/>
    <w:rsid w:val="00044D36"/>
    <w:rsid w:val="0004585C"/>
    <w:rsid w:val="0004694E"/>
    <w:rsid w:val="00046D4B"/>
    <w:rsid w:val="00046D8F"/>
    <w:rsid w:val="0004727C"/>
    <w:rsid w:val="00047CA9"/>
    <w:rsid w:val="00047CE5"/>
    <w:rsid w:val="000506DB"/>
    <w:rsid w:val="0005096B"/>
    <w:rsid w:val="00050DA7"/>
    <w:rsid w:val="00051142"/>
    <w:rsid w:val="0005186B"/>
    <w:rsid w:val="00052731"/>
    <w:rsid w:val="00052879"/>
    <w:rsid w:val="000528E0"/>
    <w:rsid w:val="00053EAA"/>
    <w:rsid w:val="000552BF"/>
    <w:rsid w:val="00055315"/>
    <w:rsid w:val="00055467"/>
    <w:rsid w:val="00055F2E"/>
    <w:rsid w:val="00056590"/>
    <w:rsid w:val="00056C1D"/>
    <w:rsid w:val="00057476"/>
    <w:rsid w:val="00057DD1"/>
    <w:rsid w:val="0006048B"/>
    <w:rsid w:val="000607EC"/>
    <w:rsid w:val="00061000"/>
    <w:rsid w:val="00061005"/>
    <w:rsid w:val="000614E8"/>
    <w:rsid w:val="000620CC"/>
    <w:rsid w:val="00062C08"/>
    <w:rsid w:val="00062F41"/>
    <w:rsid w:val="00063074"/>
    <w:rsid w:val="00063285"/>
    <w:rsid w:val="00063419"/>
    <w:rsid w:val="00063632"/>
    <w:rsid w:val="00063B7D"/>
    <w:rsid w:val="00063D63"/>
    <w:rsid w:val="00064CCE"/>
    <w:rsid w:val="00064D25"/>
    <w:rsid w:val="000656C7"/>
    <w:rsid w:val="000656F5"/>
    <w:rsid w:val="00066307"/>
    <w:rsid w:val="00066371"/>
    <w:rsid w:val="00066591"/>
    <w:rsid w:val="0006688A"/>
    <w:rsid w:val="000677CA"/>
    <w:rsid w:val="0006797A"/>
    <w:rsid w:val="00067DBF"/>
    <w:rsid w:val="00070498"/>
    <w:rsid w:val="00070E9E"/>
    <w:rsid w:val="00071249"/>
    <w:rsid w:val="00071C83"/>
    <w:rsid w:val="00071FF4"/>
    <w:rsid w:val="00072144"/>
    <w:rsid w:val="00072CD7"/>
    <w:rsid w:val="000733B6"/>
    <w:rsid w:val="000735E9"/>
    <w:rsid w:val="00073647"/>
    <w:rsid w:val="00073E0D"/>
    <w:rsid w:val="00073F07"/>
    <w:rsid w:val="0007496F"/>
    <w:rsid w:val="00075135"/>
    <w:rsid w:val="0007566D"/>
    <w:rsid w:val="0007665B"/>
    <w:rsid w:val="00077764"/>
    <w:rsid w:val="00077BD2"/>
    <w:rsid w:val="00077EA1"/>
    <w:rsid w:val="00080417"/>
    <w:rsid w:val="00080A58"/>
    <w:rsid w:val="00081136"/>
    <w:rsid w:val="00081584"/>
    <w:rsid w:val="00082E6C"/>
    <w:rsid w:val="000840F1"/>
    <w:rsid w:val="00085C36"/>
    <w:rsid w:val="00085C7C"/>
    <w:rsid w:val="000862B4"/>
    <w:rsid w:val="00086383"/>
    <w:rsid w:val="00086644"/>
    <w:rsid w:val="00086F25"/>
    <w:rsid w:val="00087507"/>
    <w:rsid w:val="0008788E"/>
    <w:rsid w:val="00087981"/>
    <w:rsid w:val="00087F08"/>
    <w:rsid w:val="0009036B"/>
    <w:rsid w:val="0009080D"/>
    <w:rsid w:val="000911C2"/>
    <w:rsid w:val="000911F1"/>
    <w:rsid w:val="00091E88"/>
    <w:rsid w:val="00092193"/>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218"/>
    <w:rsid w:val="000A2561"/>
    <w:rsid w:val="000A2ACC"/>
    <w:rsid w:val="000A3615"/>
    <w:rsid w:val="000A3A93"/>
    <w:rsid w:val="000A3B2E"/>
    <w:rsid w:val="000A3D68"/>
    <w:rsid w:val="000A3E44"/>
    <w:rsid w:val="000A45CB"/>
    <w:rsid w:val="000A546F"/>
    <w:rsid w:val="000A5804"/>
    <w:rsid w:val="000A5E9E"/>
    <w:rsid w:val="000A7534"/>
    <w:rsid w:val="000A7A6F"/>
    <w:rsid w:val="000B0037"/>
    <w:rsid w:val="000B0979"/>
    <w:rsid w:val="000B1157"/>
    <w:rsid w:val="000B1488"/>
    <w:rsid w:val="000B189C"/>
    <w:rsid w:val="000B23BA"/>
    <w:rsid w:val="000B23D0"/>
    <w:rsid w:val="000B356B"/>
    <w:rsid w:val="000B3E61"/>
    <w:rsid w:val="000B3E7D"/>
    <w:rsid w:val="000B4FBE"/>
    <w:rsid w:val="000B5A9B"/>
    <w:rsid w:val="000B5D91"/>
    <w:rsid w:val="000B5EB3"/>
    <w:rsid w:val="000B5FD1"/>
    <w:rsid w:val="000B6756"/>
    <w:rsid w:val="000B6B93"/>
    <w:rsid w:val="000B6E51"/>
    <w:rsid w:val="000B6ECE"/>
    <w:rsid w:val="000B71F8"/>
    <w:rsid w:val="000B7557"/>
    <w:rsid w:val="000B79B1"/>
    <w:rsid w:val="000C0F07"/>
    <w:rsid w:val="000C10AA"/>
    <w:rsid w:val="000C13FB"/>
    <w:rsid w:val="000C2567"/>
    <w:rsid w:val="000C3C25"/>
    <w:rsid w:val="000C40D7"/>
    <w:rsid w:val="000C4AAA"/>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D7266"/>
    <w:rsid w:val="000D7D31"/>
    <w:rsid w:val="000E081F"/>
    <w:rsid w:val="000E0E12"/>
    <w:rsid w:val="000E0F44"/>
    <w:rsid w:val="000E10AE"/>
    <w:rsid w:val="000E13C6"/>
    <w:rsid w:val="000E2965"/>
    <w:rsid w:val="000E2A94"/>
    <w:rsid w:val="000E2C00"/>
    <w:rsid w:val="000E2C7C"/>
    <w:rsid w:val="000E318A"/>
    <w:rsid w:val="000E37B6"/>
    <w:rsid w:val="000E3F4B"/>
    <w:rsid w:val="000E43F7"/>
    <w:rsid w:val="000E4A3E"/>
    <w:rsid w:val="000E4D7F"/>
    <w:rsid w:val="000E5882"/>
    <w:rsid w:val="000E6CCB"/>
    <w:rsid w:val="000E7037"/>
    <w:rsid w:val="000E71D4"/>
    <w:rsid w:val="000E74A2"/>
    <w:rsid w:val="000E7BD3"/>
    <w:rsid w:val="000E7D53"/>
    <w:rsid w:val="000F05AD"/>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0F50"/>
    <w:rsid w:val="001011B1"/>
    <w:rsid w:val="001012ED"/>
    <w:rsid w:val="00101A2E"/>
    <w:rsid w:val="001025AE"/>
    <w:rsid w:val="00103B95"/>
    <w:rsid w:val="0010408B"/>
    <w:rsid w:val="001040C7"/>
    <w:rsid w:val="00104778"/>
    <w:rsid w:val="0010544A"/>
    <w:rsid w:val="0010553A"/>
    <w:rsid w:val="00105AB7"/>
    <w:rsid w:val="00105C4D"/>
    <w:rsid w:val="00106913"/>
    <w:rsid w:val="001070AD"/>
    <w:rsid w:val="0010776B"/>
    <w:rsid w:val="00107C94"/>
    <w:rsid w:val="0011008A"/>
    <w:rsid w:val="0011093B"/>
    <w:rsid w:val="00110DC0"/>
    <w:rsid w:val="00110DDF"/>
    <w:rsid w:val="00111238"/>
    <w:rsid w:val="00111C24"/>
    <w:rsid w:val="00111E2F"/>
    <w:rsid w:val="0011233F"/>
    <w:rsid w:val="0011265A"/>
    <w:rsid w:val="0011317D"/>
    <w:rsid w:val="001134FA"/>
    <w:rsid w:val="001136E9"/>
    <w:rsid w:val="00115AAD"/>
    <w:rsid w:val="00115BFB"/>
    <w:rsid w:val="00116999"/>
    <w:rsid w:val="00117935"/>
    <w:rsid w:val="00117971"/>
    <w:rsid w:val="00117BD8"/>
    <w:rsid w:val="00117CD0"/>
    <w:rsid w:val="00117D1C"/>
    <w:rsid w:val="001205BD"/>
    <w:rsid w:val="00122458"/>
    <w:rsid w:val="001227C6"/>
    <w:rsid w:val="0012290D"/>
    <w:rsid w:val="00122990"/>
    <w:rsid w:val="00123195"/>
    <w:rsid w:val="001245A4"/>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3FB"/>
    <w:rsid w:val="001368CE"/>
    <w:rsid w:val="001374CD"/>
    <w:rsid w:val="00137E04"/>
    <w:rsid w:val="001400E7"/>
    <w:rsid w:val="0014057D"/>
    <w:rsid w:val="001407B9"/>
    <w:rsid w:val="001408A7"/>
    <w:rsid w:val="00141125"/>
    <w:rsid w:val="00141C04"/>
    <w:rsid w:val="00141F10"/>
    <w:rsid w:val="001423AA"/>
    <w:rsid w:val="00144857"/>
    <w:rsid w:val="00144AC6"/>
    <w:rsid w:val="00144B16"/>
    <w:rsid w:val="00144B33"/>
    <w:rsid w:val="00145209"/>
    <w:rsid w:val="00146839"/>
    <w:rsid w:val="00146FFD"/>
    <w:rsid w:val="00147287"/>
    <w:rsid w:val="00147CB1"/>
    <w:rsid w:val="00150137"/>
    <w:rsid w:val="00150192"/>
    <w:rsid w:val="00150203"/>
    <w:rsid w:val="00150CF3"/>
    <w:rsid w:val="00151047"/>
    <w:rsid w:val="00151476"/>
    <w:rsid w:val="001514BD"/>
    <w:rsid w:val="001518BA"/>
    <w:rsid w:val="001532EC"/>
    <w:rsid w:val="0015368F"/>
    <w:rsid w:val="00153901"/>
    <w:rsid w:val="00155284"/>
    <w:rsid w:val="00155898"/>
    <w:rsid w:val="00155E3F"/>
    <w:rsid w:val="00156C76"/>
    <w:rsid w:val="00157022"/>
    <w:rsid w:val="00157031"/>
    <w:rsid w:val="001578D2"/>
    <w:rsid w:val="001578D3"/>
    <w:rsid w:val="00160BFB"/>
    <w:rsid w:val="0016195F"/>
    <w:rsid w:val="00161BBF"/>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656"/>
    <w:rsid w:val="00172954"/>
    <w:rsid w:val="001729D9"/>
    <w:rsid w:val="0017393C"/>
    <w:rsid w:val="00173A6E"/>
    <w:rsid w:val="00173C24"/>
    <w:rsid w:val="00173C80"/>
    <w:rsid w:val="00175226"/>
    <w:rsid w:val="00175756"/>
    <w:rsid w:val="00175823"/>
    <w:rsid w:val="0017617A"/>
    <w:rsid w:val="00176221"/>
    <w:rsid w:val="00176C82"/>
    <w:rsid w:val="0017784C"/>
    <w:rsid w:val="00177C36"/>
    <w:rsid w:val="00180250"/>
    <w:rsid w:val="0018055C"/>
    <w:rsid w:val="00180E7C"/>
    <w:rsid w:val="001815E0"/>
    <w:rsid w:val="00182A13"/>
    <w:rsid w:val="00182E55"/>
    <w:rsid w:val="0018333E"/>
    <w:rsid w:val="0018491E"/>
    <w:rsid w:val="00184C8F"/>
    <w:rsid w:val="001852E9"/>
    <w:rsid w:val="00185743"/>
    <w:rsid w:val="00185BBD"/>
    <w:rsid w:val="001868D8"/>
    <w:rsid w:val="001869FD"/>
    <w:rsid w:val="00186E5C"/>
    <w:rsid w:val="001877B1"/>
    <w:rsid w:val="001878E0"/>
    <w:rsid w:val="00190B35"/>
    <w:rsid w:val="00190DCF"/>
    <w:rsid w:val="00191763"/>
    <w:rsid w:val="00192624"/>
    <w:rsid w:val="0019569A"/>
    <w:rsid w:val="001959CB"/>
    <w:rsid w:val="00195DE9"/>
    <w:rsid w:val="00196494"/>
    <w:rsid w:val="001976E2"/>
    <w:rsid w:val="0019772B"/>
    <w:rsid w:val="00197DF6"/>
    <w:rsid w:val="001A02AB"/>
    <w:rsid w:val="001A0474"/>
    <w:rsid w:val="001A0E15"/>
    <w:rsid w:val="001A122F"/>
    <w:rsid w:val="001A16B8"/>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0EB"/>
    <w:rsid w:val="001B314E"/>
    <w:rsid w:val="001B3518"/>
    <w:rsid w:val="001B4A19"/>
    <w:rsid w:val="001B4DB7"/>
    <w:rsid w:val="001B5352"/>
    <w:rsid w:val="001B68FF"/>
    <w:rsid w:val="001C02CB"/>
    <w:rsid w:val="001C08F3"/>
    <w:rsid w:val="001C0B2D"/>
    <w:rsid w:val="001C1556"/>
    <w:rsid w:val="001C2190"/>
    <w:rsid w:val="001C2A35"/>
    <w:rsid w:val="001C2ADF"/>
    <w:rsid w:val="001C2C01"/>
    <w:rsid w:val="001C2ED9"/>
    <w:rsid w:val="001C381F"/>
    <w:rsid w:val="001C4048"/>
    <w:rsid w:val="001C49C8"/>
    <w:rsid w:val="001C581C"/>
    <w:rsid w:val="001C5BC6"/>
    <w:rsid w:val="001C5C5F"/>
    <w:rsid w:val="001C5EC8"/>
    <w:rsid w:val="001C5EFC"/>
    <w:rsid w:val="001C7037"/>
    <w:rsid w:val="001C730B"/>
    <w:rsid w:val="001D08DA"/>
    <w:rsid w:val="001D2EA3"/>
    <w:rsid w:val="001D3A2C"/>
    <w:rsid w:val="001D3BEF"/>
    <w:rsid w:val="001D3E0D"/>
    <w:rsid w:val="001D42BA"/>
    <w:rsid w:val="001D47AF"/>
    <w:rsid w:val="001D47D3"/>
    <w:rsid w:val="001D50BC"/>
    <w:rsid w:val="001D56E7"/>
    <w:rsid w:val="001D661F"/>
    <w:rsid w:val="001D74E7"/>
    <w:rsid w:val="001D795F"/>
    <w:rsid w:val="001D79FB"/>
    <w:rsid w:val="001D7CE5"/>
    <w:rsid w:val="001D7FF5"/>
    <w:rsid w:val="001E019B"/>
    <w:rsid w:val="001E04D4"/>
    <w:rsid w:val="001E1D0D"/>
    <w:rsid w:val="001E2592"/>
    <w:rsid w:val="001E334B"/>
    <w:rsid w:val="001E3CE1"/>
    <w:rsid w:val="001E4647"/>
    <w:rsid w:val="001E4650"/>
    <w:rsid w:val="001E5670"/>
    <w:rsid w:val="001E5D65"/>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4DAB"/>
    <w:rsid w:val="001F6A05"/>
    <w:rsid w:val="001F7072"/>
    <w:rsid w:val="001F7244"/>
    <w:rsid w:val="00200D8D"/>
    <w:rsid w:val="002010BE"/>
    <w:rsid w:val="00201381"/>
    <w:rsid w:val="00202C2E"/>
    <w:rsid w:val="00203C32"/>
    <w:rsid w:val="00204789"/>
    <w:rsid w:val="002047A8"/>
    <w:rsid w:val="002052C2"/>
    <w:rsid w:val="00205351"/>
    <w:rsid w:val="00205DE1"/>
    <w:rsid w:val="00206752"/>
    <w:rsid w:val="00206EB4"/>
    <w:rsid w:val="00207129"/>
    <w:rsid w:val="0020741C"/>
    <w:rsid w:val="00207E4E"/>
    <w:rsid w:val="00207F53"/>
    <w:rsid w:val="0021019E"/>
    <w:rsid w:val="0021119A"/>
    <w:rsid w:val="0021139B"/>
    <w:rsid w:val="002122B6"/>
    <w:rsid w:val="002124BB"/>
    <w:rsid w:val="002135E0"/>
    <w:rsid w:val="00213A20"/>
    <w:rsid w:val="00214479"/>
    <w:rsid w:val="0021453D"/>
    <w:rsid w:val="00216123"/>
    <w:rsid w:val="002167B7"/>
    <w:rsid w:val="00216ABB"/>
    <w:rsid w:val="002177B0"/>
    <w:rsid w:val="00217BD0"/>
    <w:rsid w:val="00220180"/>
    <w:rsid w:val="00220F27"/>
    <w:rsid w:val="00221001"/>
    <w:rsid w:val="00223FE3"/>
    <w:rsid w:val="00224451"/>
    <w:rsid w:val="00224BCF"/>
    <w:rsid w:val="00225313"/>
    <w:rsid w:val="0022612A"/>
    <w:rsid w:val="00226A52"/>
    <w:rsid w:val="00227A27"/>
    <w:rsid w:val="00227FF4"/>
    <w:rsid w:val="00230CBF"/>
    <w:rsid w:val="00230FBC"/>
    <w:rsid w:val="002311CA"/>
    <w:rsid w:val="002312B8"/>
    <w:rsid w:val="00231387"/>
    <w:rsid w:val="002326D1"/>
    <w:rsid w:val="002327EE"/>
    <w:rsid w:val="00233574"/>
    <w:rsid w:val="00233EBA"/>
    <w:rsid w:val="002341B7"/>
    <w:rsid w:val="0023506C"/>
    <w:rsid w:val="00235221"/>
    <w:rsid w:val="0023610C"/>
    <w:rsid w:val="00236185"/>
    <w:rsid w:val="002365E7"/>
    <w:rsid w:val="0023669F"/>
    <w:rsid w:val="0023697B"/>
    <w:rsid w:val="00237477"/>
    <w:rsid w:val="00237741"/>
    <w:rsid w:val="002377F5"/>
    <w:rsid w:val="0023787B"/>
    <w:rsid w:val="00240E17"/>
    <w:rsid w:val="002419AB"/>
    <w:rsid w:val="00241C2E"/>
    <w:rsid w:val="002420E5"/>
    <w:rsid w:val="002420F6"/>
    <w:rsid w:val="00242CE4"/>
    <w:rsid w:val="0024381B"/>
    <w:rsid w:val="00243CC5"/>
    <w:rsid w:val="00243F29"/>
    <w:rsid w:val="00243FB1"/>
    <w:rsid w:val="002461CF"/>
    <w:rsid w:val="00246281"/>
    <w:rsid w:val="002473CF"/>
    <w:rsid w:val="00247A17"/>
    <w:rsid w:val="00247AD0"/>
    <w:rsid w:val="0025063C"/>
    <w:rsid w:val="0025186B"/>
    <w:rsid w:val="00251E29"/>
    <w:rsid w:val="002526E3"/>
    <w:rsid w:val="002527F5"/>
    <w:rsid w:val="002536DA"/>
    <w:rsid w:val="00253A9E"/>
    <w:rsid w:val="00254A48"/>
    <w:rsid w:val="00255742"/>
    <w:rsid w:val="00255950"/>
    <w:rsid w:val="002559B2"/>
    <w:rsid w:val="00255D78"/>
    <w:rsid w:val="00256C95"/>
    <w:rsid w:val="00256F69"/>
    <w:rsid w:val="00257A7F"/>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67B59"/>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A9C"/>
    <w:rsid w:val="00277CD6"/>
    <w:rsid w:val="00277D66"/>
    <w:rsid w:val="00277F31"/>
    <w:rsid w:val="00281233"/>
    <w:rsid w:val="0028155F"/>
    <w:rsid w:val="0028237B"/>
    <w:rsid w:val="00282B30"/>
    <w:rsid w:val="00282ECC"/>
    <w:rsid w:val="002833E0"/>
    <w:rsid w:val="002838A6"/>
    <w:rsid w:val="002839C2"/>
    <w:rsid w:val="00285AA0"/>
    <w:rsid w:val="0028648A"/>
    <w:rsid w:val="002865BA"/>
    <w:rsid w:val="00286627"/>
    <w:rsid w:val="00286ED7"/>
    <w:rsid w:val="00290DEB"/>
    <w:rsid w:val="002911A6"/>
    <w:rsid w:val="0029140C"/>
    <w:rsid w:val="00291B91"/>
    <w:rsid w:val="00291C45"/>
    <w:rsid w:val="00291DBD"/>
    <w:rsid w:val="002920A2"/>
    <w:rsid w:val="0029271C"/>
    <w:rsid w:val="00293974"/>
    <w:rsid w:val="0029442A"/>
    <w:rsid w:val="00294854"/>
    <w:rsid w:val="00294E25"/>
    <w:rsid w:val="00295DDF"/>
    <w:rsid w:val="00295EA4"/>
    <w:rsid w:val="00296101"/>
    <w:rsid w:val="002975B6"/>
    <w:rsid w:val="00297C58"/>
    <w:rsid w:val="002A0B87"/>
    <w:rsid w:val="002A0F5E"/>
    <w:rsid w:val="002A1406"/>
    <w:rsid w:val="002A171C"/>
    <w:rsid w:val="002A18A7"/>
    <w:rsid w:val="002A1A5D"/>
    <w:rsid w:val="002A2905"/>
    <w:rsid w:val="002A2BC4"/>
    <w:rsid w:val="002A35C1"/>
    <w:rsid w:val="002A3827"/>
    <w:rsid w:val="002A4A1A"/>
    <w:rsid w:val="002A563C"/>
    <w:rsid w:val="002A574E"/>
    <w:rsid w:val="002A6ED9"/>
    <w:rsid w:val="002A6F5E"/>
    <w:rsid w:val="002A719E"/>
    <w:rsid w:val="002A7313"/>
    <w:rsid w:val="002A7774"/>
    <w:rsid w:val="002A7884"/>
    <w:rsid w:val="002B0364"/>
    <w:rsid w:val="002B04FA"/>
    <w:rsid w:val="002B105A"/>
    <w:rsid w:val="002B12B3"/>
    <w:rsid w:val="002B1409"/>
    <w:rsid w:val="002B1C08"/>
    <w:rsid w:val="002B2492"/>
    <w:rsid w:val="002B299C"/>
    <w:rsid w:val="002B2AA9"/>
    <w:rsid w:val="002B2DA9"/>
    <w:rsid w:val="002B36C4"/>
    <w:rsid w:val="002B3A52"/>
    <w:rsid w:val="002B3CC9"/>
    <w:rsid w:val="002B3F26"/>
    <w:rsid w:val="002B405D"/>
    <w:rsid w:val="002B41FE"/>
    <w:rsid w:val="002B4FCA"/>
    <w:rsid w:val="002B4FEA"/>
    <w:rsid w:val="002B5377"/>
    <w:rsid w:val="002B6274"/>
    <w:rsid w:val="002B62C9"/>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661"/>
    <w:rsid w:val="002D0732"/>
    <w:rsid w:val="002D150C"/>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9A0"/>
    <w:rsid w:val="002E1CA8"/>
    <w:rsid w:val="002E1CC6"/>
    <w:rsid w:val="002E2131"/>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19FB"/>
    <w:rsid w:val="002F2777"/>
    <w:rsid w:val="002F2DB3"/>
    <w:rsid w:val="002F2E9C"/>
    <w:rsid w:val="002F3186"/>
    <w:rsid w:val="002F3976"/>
    <w:rsid w:val="002F3DA9"/>
    <w:rsid w:val="002F45A0"/>
    <w:rsid w:val="002F4770"/>
    <w:rsid w:val="002F51B9"/>
    <w:rsid w:val="0030095D"/>
    <w:rsid w:val="003010A3"/>
    <w:rsid w:val="003013C4"/>
    <w:rsid w:val="003017FD"/>
    <w:rsid w:val="00301C36"/>
    <w:rsid w:val="00302794"/>
    <w:rsid w:val="00302870"/>
    <w:rsid w:val="003033EF"/>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1B9F"/>
    <w:rsid w:val="00312785"/>
    <w:rsid w:val="0031361D"/>
    <w:rsid w:val="003138DE"/>
    <w:rsid w:val="00313D83"/>
    <w:rsid w:val="00313DC5"/>
    <w:rsid w:val="0031494D"/>
    <w:rsid w:val="00314B2D"/>
    <w:rsid w:val="00314B9D"/>
    <w:rsid w:val="00314FB2"/>
    <w:rsid w:val="0031614E"/>
    <w:rsid w:val="00317D5E"/>
    <w:rsid w:val="003211E1"/>
    <w:rsid w:val="003216B4"/>
    <w:rsid w:val="003218F9"/>
    <w:rsid w:val="0032270F"/>
    <w:rsid w:val="0032354B"/>
    <w:rsid w:val="00324251"/>
    <w:rsid w:val="003244FA"/>
    <w:rsid w:val="00324D1B"/>
    <w:rsid w:val="003255C5"/>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309C"/>
    <w:rsid w:val="00334148"/>
    <w:rsid w:val="0033415C"/>
    <w:rsid w:val="00335731"/>
    <w:rsid w:val="00337173"/>
    <w:rsid w:val="0033720C"/>
    <w:rsid w:val="00337494"/>
    <w:rsid w:val="00337CF3"/>
    <w:rsid w:val="00337F6B"/>
    <w:rsid w:val="00340928"/>
    <w:rsid w:val="00340E26"/>
    <w:rsid w:val="00341A74"/>
    <w:rsid w:val="00342529"/>
    <w:rsid w:val="00342AA3"/>
    <w:rsid w:val="003431BD"/>
    <w:rsid w:val="003432F7"/>
    <w:rsid w:val="00343640"/>
    <w:rsid w:val="00344189"/>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0EC1"/>
    <w:rsid w:val="003513FA"/>
    <w:rsid w:val="0035159B"/>
    <w:rsid w:val="00351952"/>
    <w:rsid w:val="00351B6A"/>
    <w:rsid w:val="0035298C"/>
    <w:rsid w:val="00352B29"/>
    <w:rsid w:val="00353497"/>
    <w:rsid w:val="003534C4"/>
    <w:rsid w:val="00353B0D"/>
    <w:rsid w:val="00353BC5"/>
    <w:rsid w:val="00355054"/>
    <w:rsid w:val="003550E0"/>
    <w:rsid w:val="00355124"/>
    <w:rsid w:val="0035518A"/>
    <w:rsid w:val="0035521F"/>
    <w:rsid w:val="0035555A"/>
    <w:rsid w:val="00356123"/>
    <w:rsid w:val="00356478"/>
    <w:rsid w:val="00356798"/>
    <w:rsid w:val="00357860"/>
    <w:rsid w:val="00360F13"/>
    <w:rsid w:val="003616CE"/>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B50"/>
    <w:rsid w:val="00373E22"/>
    <w:rsid w:val="003742A9"/>
    <w:rsid w:val="00374DEA"/>
    <w:rsid w:val="003752A0"/>
    <w:rsid w:val="00375867"/>
    <w:rsid w:val="003759E3"/>
    <w:rsid w:val="003763F6"/>
    <w:rsid w:val="003764BC"/>
    <w:rsid w:val="00376885"/>
    <w:rsid w:val="00377BB5"/>
    <w:rsid w:val="00377C29"/>
    <w:rsid w:val="00380FA0"/>
    <w:rsid w:val="00380FCA"/>
    <w:rsid w:val="00381DEF"/>
    <w:rsid w:val="003826EA"/>
    <w:rsid w:val="003828AC"/>
    <w:rsid w:val="00383ADF"/>
    <w:rsid w:val="00383B51"/>
    <w:rsid w:val="0038476A"/>
    <w:rsid w:val="0038529A"/>
    <w:rsid w:val="00385B32"/>
    <w:rsid w:val="00386CE1"/>
    <w:rsid w:val="00387032"/>
    <w:rsid w:val="00387061"/>
    <w:rsid w:val="003878AA"/>
    <w:rsid w:val="00387B32"/>
    <w:rsid w:val="00387F76"/>
    <w:rsid w:val="00390A49"/>
    <w:rsid w:val="00390E6C"/>
    <w:rsid w:val="003912C6"/>
    <w:rsid w:val="00391DE8"/>
    <w:rsid w:val="003922E1"/>
    <w:rsid w:val="00392BDF"/>
    <w:rsid w:val="0039329F"/>
    <w:rsid w:val="00394303"/>
    <w:rsid w:val="00394A6E"/>
    <w:rsid w:val="00394CAA"/>
    <w:rsid w:val="00394FCC"/>
    <w:rsid w:val="003958C8"/>
    <w:rsid w:val="00395DED"/>
    <w:rsid w:val="00395DF7"/>
    <w:rsid w:val="00396739"/>
    <w:rsid w:val="003969D2"/>
    <w:rsid w:val="00397201"/>
    <w:rsid w:val="00397852"/>
    <w:rsid w:val="003A0706"/>
    <w:rsid w:val="003A129B"/>
    <w:rsid w:val="003A2382"/>
    <w:rsid w:val="003A3002"/>
    <w:rsid w:val="003A354F"/>
    <w:rsid w:val="003A38CA"/>
    <w:rsid w:val="003A465E"/>
    <w:rsid w:val="003A4772"/>
    <w:rsid w:val="003A5508"/>
    <w:rsid w:val="003A5884"/>
    <w:rsid w:val="003A594D"/>
    <w:rsid w:val="003A59E9"/>
    <w:rsid w:val="003A63C9"/>
    <w:rsid w:val="003A6E42"/>
    <w:rsid w:val="003A7026"/>
    <w:rsid w:val="003A73CC"/>
    <w:rsid w:val="003A79EF"/>
    <w:rsid w:val="003A7B02"/>
    <w:rsid w:val="003B12AC"/>
    <w:rsid w:val="003B190E"/>
    <w:rsid w:val="003B1DF7"/>
    <w:rsid w:val="003B2367"/>
    <w:rsid w:val="003B27C2"/>
    <w:rsid w:val="003B29A5"/>
    <w:rsid w:val="003B4925"/>
    <w:rsid w:val="003B49F6"/>
    <w:rsid w:val="003B4AB6"/>
    <w:rsid w:val="003B5492"/>
    <w:rsid w:val="003B56AF"/>
    <w:rsid w:val="003B5994"/>
    <w:rsid w:val="003B5FAB"/>
    <w:rsid w:val="003B658D"/>
    <w:rsid w:val="003B6DB9"/>
    <w:rsid w:val="003B715E"/>
    <w:rsid w:val="003B776B"/>
    <w:rsid w:val="003B7853"/>
    <w:rsid w:val="003B7E8A"/>
    <w:rsid w:val="003B7F2F"/>
    <w:rsid w:val="003C09C5"/>
    <w:rsid w:val="003C09F9"/>
    <w:rsid w:val="003C0C33"/>
    <w:rsid w:val="003C2466"/>
    <w:rsid w:val="003C2933"/>
    <w:rsid w:val="003C2FAE"/>
    <w:rsid w:val="003C301F"/>
    <w:rsid w:val="003C3A85"/>
    <w:rsid w:val="003C3EF3"/>
    <w:rsid w:val="003C43C8"/>
    <w:rsid w:val="003C4F4B"/>
    <w:rsid w:val="003C5BD3"/>
    <w:rsid w:val="003C5F60"/>
    <w:rsid w:val="003C5FE0"/>
    <w:rsid w:val="003C7A04"/>
    <w:rsid w:val="003C7C0D"/>
    <w:rsid w:val="003C7E73"/>
    <w:rsid w:val="003D0D4F"/>
    <w:rsid w:val="003D0E64"/>
    <w:rsid w:val="003D103D"/>
    <w:rsid w:val="003D15C1"/>
    <w:rsid w:val="003D17AB"/>
    <w:rsid w:val="003D24F5"/>
    <w:rsid w:val="003D261A"/>
    <w:rsid w:val="003D2E2C"/>
    <w:rsid w:val="003D3CFF"/>
    <w:rsid w:val="003D4B3F"/>
    <w:rsid w:val="003D4D59"/>
    <w:rsid w:val="003D529A"/>
    <w:rsid w:val="003D54E4"/>
    <w:rsid w:val="003D56DB"/>
    <w:rsid w:val="003D7A90"/>
    <w:rsid w:val="003E0562"/>
    <w:rsid w:val="003E166C"/>
    <w:rsid w:val="003E1813"/>
    <w:rsid w:val="003E3F4D"/>
    <w:rsid w:val="003E45C9"/>
    <w:rsid w:val="003E5350"/>
    <w:rsid w:val="003E57A3"/>
    <w:rsid w:val="003E642E"/>
    <w:rsid w:val="003E6895"/>
    <w:rsid w:val="003E6995"/>
    <w:rsid w:val="003E6C20"/>
    <w:rsid w:val="003E79FE"/>
    <w:rsid w:val="003E7BD4"/>
    <w:rsid w:val="003E7DC1"/>
    <w:rsid w:val="003F0C37"/>
    <w:rsid w:val="003F1DEE"/>
    <w:rsid w:val="003F1F10"/>
    <w:rsid w:val="003F2200"/>
    <w:rsid w:val="003F2E42"/>
    <w:rsid w:val="003F34B2"/>
    <w:rsid w:val="003F3827"/>
    <w:rsid w:val="003F414B"/>
    <w:rsid w:val="003F45C8"/>
    <w:rsid w:val="003F4636"/>
    <w:rsid w:val="003F523C"/>
    <w:rsid w:val="003F52C0"/>
    <w:rsid w:val="003F5D3F"/>
    <w:rsid w:val="003F685E"/>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6AEE"/>
    <w:rsid w:val="00407E95"/>
    <w:rsid w:val="00410165"/>
    <w:rsid w:val="004107BC"/>
    <w:rsid w:val="00411B6F"/>
    <w:rsid w:val="004120EA"/>
    <w:rsid w:val="004130F6"/>
    <w:rsid w:val="0041346E"/>
    <w:rsid w:val="004135C9"/>
    <w:rsid w:val="0041414D"/>
    <w:rsid w:val="00414E19"/>
    <w:rsid w:val="00414F3E"/>
    <w:rsid w:val="00415384"/>
    <w:rsid w:val="004156BB"/>
    <w:rsid w:val="00415C3E"/>
    <w:rsid w:val="00416961"/>
    <w:rsid w:val="00417625"/>
    <w:rsid w:val="004204BF"/>
    <w:rsid w:val="00420A6C"/>
    <w:rsid w:val="00420D6E"/>
    <w:rsid w:val="00421390"/>
    <w:rsid w:val="004218F9"/>
    <w:rsid w:val="0042208C"/>
    <w:rsid w:val="004228C4"/>
    <w:rsid w:val="00422FAB"/>
    <w:rsid w:val="00422FCB"/>
    <w:rsid w:val="004234EE"/>
    <w:rsid w:val="00423D75"/>
    <w:rsid w:val="00423F4E"/>
    <w:rsid w:val="0042401C"/>
    <w:rsid w:val="0042487C"/>
    <w:rsid w:val="00424AED"/>
    <w:rsid w:val="00424F36"/>
    <w:rsid w:val="00424FD6"/>
    <w:rsid w:val="004261E1"/>
    <w:rsid w:val="00426243"/>
    <w:rsid w:val="004263CB"/>
    <w:rsid w:val="0042660B"/>
    <w:rsid w:val="004279C6"/>
    <w:rsid w:val="00427D4A"/>
    <w:rsid w:val="00430BD0"/>
    <w:rsid w:val="00431DCC"/>
    <w:rsid w:val="00432B49"/>
    <w:rsid w:val="004341B0"/>
    <w:rsid w:val="00434B3F"/>
    <w:rsid w:val="0043547E"/>
    <w:rsid w:val="00436169"/>
    <w:rsid w:val="00436334"/>
    <w:rsid w:val="00437F6D"/>
    <w:rsid w:val="004404EF"/>
    <w:rsid w:val="00440742"/>
    <w:rsid w:val="00440869"/>
    <w:rsid w:val="004416F0"/>
    <w:rsid w:val="00441839"/>
    <w:rsid w:val="00442180"/>
    <w:rsid w:val="00442234"/>
    <w:rsid w:val="00442ABE"/>
    <w:rsid w:val="00442BFD"/>
    <w:rsid w:val="004442E4"/>
    <w:rsid w:val="004444D9"/>
    <w:rsid w:val="00444524"/>
    <w:rsid w:val="00444DB6"/>
    <w:rsid w:val="00445103"/>
    <w:rsid w:val="004452DF"/>
    <w:rsid w:val="00445694"/>
    <w:rsid w:val="0044591E"/>
    <w:rsid w:val="00445BB9"/>
    <w:rsid w:val="00445CB5"/>
    <w:rsid w:val="00445D18"/>
    <w:rsid w:val="00445F7C"/>
    <w:rsid w:val="0044611E"/>
    <w:rsid w:val="00446687"/>
    <w:rsid w:val="004466CC"/>
    <w:rsid w:val="00446C0F"/>
    <w:rsid w:val="00447B57"/>
    <w:rsid w:val="00450598"/>
    <w:rsid w:val="0045061A"/>
    <w:rsid w:val="0045085A"/>
    <w:rsid w:val="00450D44"/>
    <w:rsid w:val="004515C0"/>
    <w:rsid w:val="0045162F"/>
    <w:rsid w:val="00452084"/>
    <w:rsid w:val="004520CE"/>
    <w:rsid w:val="004521EF"/>
    <w:rsid w:val="00452517"/>
    <w:rsid w:val="004529FE"/>
    <w:rsid w:val="00452ACF"/>
    <w:rsid w:val="00452CC6"/>
    <w:rsid w:val="00452F7D"/>
    <w:rsid w:val="00453CFF"/>
    <w:rsid w:val="00453D60"/>
    <w:rsid w:val="004547B1"/>
    <w:rsid w:val="004548D3"/>
    <w:rsid w:val="00454F67"/>
    <w:rsid w:val="004553D3"/>
    <w:rsid w:val="0045550E"/>
    <w:rsid w:val="00457038"/>
    <w:rsid w:val="004575C8"/>
    <w:rsid w:val="0045791A"/>
    <w:rsid w:val="00460187"/>
    <w:rsid w:val="00460BCC"/>
    <w:rsid w:val="0046170D"/>
    <w:rsid w:val="00461786"/>
    <w:rsid w:val="004618E7"/>
    <w:rsid w:val="00461C6D"/>
    <w:rsid w:val="004628F6"/>
    <w:rsid w:val="0046308E"/>
    <w:rsid w:val="004660C4"/>
    <w:rsid w:val="00466B34"/>
    <w:rsid w:val="00466E1B"/>
    <w:rsid w:val="00467454"/>
    <w:rsid w:val="004679A3"/>
    <w:rsid w:val="004702B2"/>
    <w:rsid w:val="00471386"/>
    <w:rsid w:val="004714CB"/>
    <w:rsid w:val="00471510"/>
    <w:rsid w:val="00471846"/>
    <w:rsid w:val="00471B8A"/>
    <w:rsid w:val="00471E98"/>
    <w:rsid w:val="00472009"/>
    <w:rsid w:val="00472967"/>
    <w:rsid w:val="004736C4"/>
    <w:rsid w:val="00473B90"/>
    <w:rsid w:val="00474369"/>
    <w:rsid w:val="00474504"/>
    <w:rsid w:val="004750DE"/>
    <w:rsid w:val="004754A7"/>
    <w:rsid w:val="00476171"/>
    <w:rsid w:val="004769B3"/>
    <w:rsid w:val="004769EC"/>
    <w:rsid w:val="0047780F"/>
    <w:rsid w:val="00477CFB"/>
    <w:rsid w:val="004801D5"/>
    <w:rsid w:val="00480A55"/>
    <w:rsid w:val="00480EBC"/>
    <w:rsid w:val="0048194A"/>
    <w:rsid w:val="00482593"/>
    <w:rsid w:val="00482CB5"/>
    <w:rsid w:val="004842B9"/>
    <w:rsid w:val="004842BD"/>
    <w:rsid w:val="00484323"/>
    <w:rsid w:val="004845AE"/>
    <w:rsid w:val="00484B23"/>
    <w:rsid w:val="0048562C"/>
    <w:rsid w:val="004868DC"/>
    <w:rsid w:val="00486CDF"/>
    <w:rsid w:val="00490229"/>
    <w:rsid w:val="004902B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9BC"/>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280"/>
    <w:rsid w:val="004A5B0A"/>
    <w:rsid w:val="004A5D54"/>
    <w:rsid w:val="004A699C"/>
    <w:rsid w:val="004A73DC"/>
    <w:rsid w:val="004A781F"/>
    <w:rsid w:val="004A7836"/>
    <w:rsid w:val="004A79F6"/>
    <w:rsid w:val="004B012C"/>
    <w:rsid w:val="004B0FF3"/>
    <w:rsid w:val="004B1F3D"/>
    <w:rsid w:val="004B2EB0"/>
    <w:rsid w:val="004B5BB4"/>
    <w:rsid w:val="004B5CA3"/>
    <w:rsid w:val="004B668C"/>
    <w:rsid w:val="004B777E"/>
    <w:rsid w:val="004B7B7A"/>
    <w:rsid w:val="004B7F61"/>
    <w:rsid w:val="004C0B12"/>
    <w:rsid w:val="004C0C21"/>
    <w:rsid w:val="004C1162"/>
    <w:rsid w:val="004C1CCB"/>
    <w:rsid w:val="004C242D"/>
    <w:rsid w:val="004C3169"/>
    <w:rsid w:val="004C3D63"/>
    <w:rsid w:val="004C45B4"/>
    <w:rsid w:val="004C45ED"/>
    <w:rsid w:val="004C46AC"/>
    <w:rsid w:val="004C533B"/>
    <w:rsid w:val="004C564A"/>
    <w:rsid w:val="004C583C"/>
    <w:rsid w:val="004C5956"/>
    <w:rsid w:val="004C64AB"/>
    <w:rsid w:val="004C65C6"/>
    <w:rsid w:val="004C6657"/>
    <w:rsid w:val="004C75F3"/>
    <w:rsid w:val="004C7B8C"/>
    <w:rsid w:val="004C7E5A"/>
    <w:rsid w:val="004D0150"/>
    <w:rsid w:val="004D018A"/>
    <w:rsid w:val="004D1037"/>
    <w:rsid w:val="004D2632"/>
    <w:rsid w:val="004D288C"/>
    <w:rsid w:val="004D3B77"/>
    <w:rsid w:val="004D3D34"/>
    <w:rsid w:val="004D4547"/>
    <w:rsid w:val="004D48E5"/>
    <w:rsid w:val="004D4B79"/>
    <w:rsid w:val="004D5B96"/>
    <w:rsid w:val="004D6195"/>
    <w:rsid w:val="004D645F"/>
    <w:rsid w:val="004D6626"/>
    <w:rsid w:val="004D6A3E"/>
    <w:rsid w:val="004E025D"/>
    <w:rsid w:val="004E0F62"/>
    <w:rsid w:val="004E155C"/>
    <w:rsid w:val="004E18CB"/>
    <w:rsid w:val="004E1EEF"/>
    <w:rsid w:val="004E1F81"/>
    <w:rsid w:val="004E2E1A"/>
    <w:rsid w:val="004E3D0D"/>
    <w:rsid w:val="004E4DD9"/>
    <w:rsid w:val="004E4F81"/>
    <w:rsid w:val="004E6A7B"/>
    <w:rsid w:val="004E6DEF"/>
    <w:rsid w:val="004E6E51"/>
    <w:rsid w:val="004F0742"/>
    <w:rsid w:val="004F1336"/>
    <w:rsid w:val="004F1756"/>
    <w:rsid w:val="004F175E"/>
    <w:rsid w:val="004F17EF"/>
    <w:rsid w:val="004F1B93"/>
    <w:rsid w:val="004F2084"/>
    <w:rsid w:val="004F4317"/>
    <w:rsid w:val="004F4A97"/>
    <w:rsid w:val="004F51AE"/>
    <w:rsid w:val="004F5451"/>
    <w:rsid w:val="004F5D65"/>
    <w:rsid w:val="004F63F2"/>
    <w:rsid w:val="004F7A22"/>
    <w:rsid w:val="004F7AC0"/>
    <w:rsid w:val="004F7B63"/>
    <w:rsid w:val="004F7F85"/>
    <w:rsid w:val="00500599"/>
    <w:rsid w:val="00502085"/>
    <w:rsid w:val="005020C3"/>
    <w:rsid w:val="005032E3"/>
    <w:rsid w:val="00504F55"/>
    <w:rsid w:val="00506568"/>
    <w:rsid w:val="00506AFA"/>
    <w:rsid w:val="00506FA3"/>
    <w:rsid w:val="0050713A"/>
    <w:rsid w:val="00507B1F"/>
    <w:rsid w:val="00510455"/>
    <w:rsid w:val="005105B3"/>
    <w:rsid w:val="005109D2"/>
    <w:rsid w:val="00511490"/>
    <w:rsid w:val="0051179B"/>
    <w:rsid w:val="00511D88"/>
    <w:rsid w:val="00511F32"/>
    <w:rsid w:val="00512468"/>
    <w:rsid w:val="0051255D"/>
    <w:rsid w:val="005128D1"/>
    <w:rsid w:val="005149C6"/>
    <w:rsid w:val="00514F0D"/>
    <w:rsid w:val="00515CA4"/>
    <w:rsid w:val="0051752B"/>
    <w:rsid w:val="00517682"/>
    <w:rsid w:val="005204E5"/>
    <w:rsid w:val="00520F24"/>
    <w:rsid w:val="005210C4"/>
    <w:rsid w:val="00522007"/>
    <w:rsid w:val="00522A7B"/>
    <w:rsid w:val="00523282"/>
    <w:rsid w:val="0052389A"/>
    <w:rsid w:val="00523DC3"/>
    <w:rsid w:val="00523EB3"/>
    <w:rsid w:val="0052406F"/>
    <w:rsid w:val="00524123"/>
    <w:rsid w:val="0052422A"/>
    <w:rsid w:val="00524B55"/>
    <w:rsid w:val="00524EEE"/>
    <w:rsid w:val="005250C9"/>
    <w:rsid w:val="0052514F"/>
    <w:rsid w:val="00525319"/>
    <w:rsid w:val="0052546F"/>
    <w:rsid w:val="005259DC"/>
    <w:rsid w:val="00525AE0"/>
    <w:rsid w:val="00525E9B"/>
    <w:rsid w:val="00526817"/>
    <w:rsid w:val="00526FB8"/>
    <w:rsid w:val="005271B3"/>
    <w:rsid w:val="005277F6"/>
    <w:rsid w:val="005277F9"/>
    <w:rsid w:val="00527B39"/>
    <w:rsid w:val="005303BB"/>
    <w:rsid w:val="005303E4"/>
    <w:rsid w:val="00530875"/>
    <w:rsid w:val="00530BFB"/>
    <w:rsid w:val="00530C10"/>
    <w:rsid w:val="00530EFA"/>
    <w:rsid w:val="005321B9"/>
    <w:rsid w:val="00533426"/>
    <w:rsid w:val="005335A3"/>
    <w:rsid w:val="00534DCE"/>
    <w:rsid w:val="00535E76"/>
    <w:rsid w:val="005366C0"/>
    <w:rsid w:val="005375F3"/>
    <w:rsid w:val="00537873"/>
    <w:rsid w:val="00537C4B"/>
    <w:rsid w:val="00540076"/>
    <w:rsid w:val="00541904"/>
    <w:rsid w:val="00541F4F"/>
    <w:rsid w:val="0054269E"/>
    <w:rsid w:val="00542A22"/>
    <w:rsid w:val="005437BE"/>
    <w:rsid w:val="00543FB1"/>
    <w:rsid w:val="00544491"/>
    <w:rsid w:val="005449D8"/>
    <w:rsid w:val="00544BF3"/>
    <w:rsid w:val="00544EE2"/>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D03"/>
    <w:rsid w:val="005622A0"/>
    <w:rsid w:val="0056246E"/>
    <w:rsid w:val="00562DB8"/>
    <w:rsid w:val="00562E06"/>
    <w:rsid w:val="005633C5"/>
    <w:rsid w:val="0056389A"/>
    <w:rsid w:val="00563FD8"/>
    <w:rsid w:val="00563FF4"/>
    <w:rsid w:val="00564ABD"/>
    <w:rsid w:val="00565DC0"/>
    <w:rsid w:val="00565FBF"/>
    <w:rsid w:val="00566B4F"/>
    <w:rsid w:val="00566D9D"/>
    <w:rsid w:val="00567374"/>
    <w:rsid w:val="00567510"/>
    <w:rsid w:val="005679F8"/>
    <w:rsid w:val="00567B5D"/>
    <w:rsid w:val="00570207"/>
    <w:rsid w:val="00570217"/>
    <w:rsid w:val="00570CDB"/>
    <w:rsid w:val="00571200"/>
    <w:rsid w:val="005715AF"/>
    <w:rsid w:val="00571C94"/>
    <w:rsid w:val="0057254F"/>
    <w:rsid w:val="00572B65"/>
    <w:rsid w:val="005740BB"/>
    <w:rsid w:val="00574AE7"/>
    <w:rsid w:val="00574DD6"/>
    <w:rsid w:val="005755FE"/>
    <w:rsid w:val="0057614C"/>
    <w:rsid w:val="00576166"/>
    <w:rsid w:val="00576474"/>
    <w:rsid w:val="005767F0"/>
    <w:rsid w:val="00576C7E"/>
    <w:rsid w:val="00577269"/>
    <w:rsid w:val="00577E2F"/>
    <w:rsid w:val="005810BF"/>
    <w:rsid w:val="00581192"/>
    <w:rsid w:val="00581D5E"/>
    <w:rsid w:val="00581EBA"/>
    <w:rsid w:val="0058215E"/>
    <w:rsid w:val="00582572"/>
    <w:rsid w:val="00582706"/>
    <w:rsid w:val="00583F8C"/>
    <w:rsid w:val="00584F9E"/>
    <w:rsid w:val="00585352"/>
    <w:rsid w:val="00585EA5"/>
    <w:rsid w:val="00587101"/>
    <w:rsid w:val="00587C2C"/>
    <w:rsid w:val="00590430"/>
    <w:rsid w:val="0059096A"/>
    <w:rsid w:val="00590BD2"/>
    <w:rsid w:val="00590E22"/>
    <w:rsid w:val="005918A7"/>
    <w:rsid w:val="00592247"/>
    <w:rsid w:val="005926E8"/>
    <w:rsid w:val="005928FC"/>
    <w:rsid w:val="00592B91"/>
    <w:rsid w:val="00592CD2"/>
    <w:rsid w:val="00594410"/>
    <w:rsid w:val="00594645"/>
    <w:rsid w:val="00595162"/>
    <w:rsid w:val="00595426"/>
    <w:rsid w:val="00596187"/>
    <w:rsid w:val="005962CA"/>
    <w:rsid w:val="00597856"/>
    <w:rsid w:val="005978B1"/>
    <w:rsid w:val="00597BB8"/>
    <w:rsid w:val="00597C29"/>
    <w:rsid w:val="005A03F6"/>
    <w:rsid w:val="005A0FD3"/>
    <w:rsid w:val="005A1651"/>
    <w:rsid w:val="005A238D"/>
    <w:rsid w:val="005A24B5"/>
    <w:rsid w:val="005A25FC"/>
    <w:rsid w:val="005A27A9"/>
    <w:rsid w:val="005A29D6"/>
    <w:rsid w:val="005A3DB2"/>
    <w:rsid w:val="005A5802"/>
    <w:rsid w:val="005A581A"/>
    <w:rsid w:val="005A70FB"/>
    <w:rsid w:val="005A7121"/>
    <w:rsid w:val="005A71B1"/>
    <w:rsid w:val="005A7850"/>
    <w:rsid w:val="005A7F92"/>
    <w:rsid w:val="005B0455"/>
    <w:rsid w:val="005B0A32"/>
    <w:rsid w:val="005B19AC"/>
    <w:rsid w:val="005B2376"/>
    <w:rsid w:val="005B275D"/>
    <w:rsid w:val="005B3023"/>
    <w:rsid w:val="005B34ED"/>
    <w:rsid w:val="005B3BB2"/>
    <w:rsid w:val="005B3E68"/>
    <w:rsid w:val="005B4085"/>
    <w:rsid w:val="005B4471"/>
    <w:rsid w:val="005B4A52"/>
    <w:rsid w:val="005B6679"/>
    <w:rsid w:val="005B6A76"/>
    <w:rsid w:val="005B6F53"/>
    <w:rsid w:val="005C2048"/>
    <w:rsid w:val="005C2810"/>
    <w:rsid w:val="005C322C"/>
    <w:rsid w:val="005C35D0"/>
    <w:rsid w:val="005C3B0D"/>
    <w:rsid w:val="005C4349"/>
    <w:rsid w:val="005C4B63"/>
    <w:rsid w:val="005C50F1"/>
    <w:rsid w:val="005C547F"/>
    <w:rsid w:val="005C57D6"/>
    <w:rsid w:val="005C5D37"/>
    <w:rsid w:val="005C61B9"/>
    <w:rsid w:val="005C69FB"/>
    <w:rsid w:val="005C6D27"/>
    <w:rsid w:val="005C7150"/>
    <w:rsid w:val="005D020E"/>
    <w:rsid w:val="005D0954"/>
    <w:rsid w:val="005D0F42"/>
    <w:rsid w:val="005D1B99"/>
    <w:rsid w:val="005D2F12"/>
    <w:rsid w:val="005D33BD"/>
    <w:rsid w:val="005D3B3D"/>
    <w:rsid w:val="005D3FB3"/>
    <w:rsid w:val="005D557A"/>
    <w:rsid w:val="005D5C12"/>
    <w:rsid w:val="005D69F8"/>
    <w:rsid w:val="005D6CF3"/>
    <w:rsid w:val="005D7883"/>
    <w:rsid w:val="005D7D2B"/>
    <w:rsid w:val="005E01A7"/>
    <w:rsid w:val="005E0D22"/>
    <w:rsid w:val="005E0D4B"/>
    <w:rsid w:val="005E2B49"/>
    <w:rsid w:val="005E3460"/>
    <w:rsid w:val="005E3A44"/>
    <w:rsid w:val="005E3DD2"/>
    <w:rsid w:val="005E4375"/>
    <w:rsid w:val="005E524D"/>
    <w:rsid w:val="005E6A1F"/>
    <w:rsid w:val="005E7908"/>
    <w:rsid w:val="005E7CEE"/>
    <w:rsid w:val="005E7E60"/>
    <w:rsid w:val="005F09EA"/>
    <w:rsid w:val="005F15E1"/>
    <w:rsid w:val="005F1BAD"/>
    <w:rsid w:val="005F1F48"/>
    <w:rsid w:val="005F24D1"/>
    <w:rsid w:val="005F272C"/>
    <w:rsid w:val="005F3BEF"/>
    <w:rsid w:val="005F3CA1"/>
    <w:rsid w:val="005F4E20"/>
    <w:rsid w:val="005F577C"/>
    <w:rsid w:val="005F5D32"/>
    <w:rsid w:val="005F61A4"/>
    <w:rsid w:val="005F6610"/>
    <w:rsid w:val="005F6BC3"/>
    <w:rsid w:val="005F72C9"/>
    <w:rsid w:val="005F76FF"/>
    <w:rsid w:val="005F7BA7"/>
    <w:rsid w:val="00600091"/>
    <w:rsid w:val="00600CEC"/>
    <w:rsid w:val="00602F08"/>
    <w:rsid w:val="00602F47"/>
    <w:rsid w:val="006032B9"/>
    <w:rsid w:val="006035AF"/>
    <w:rsid w:val="00603967"/>
    <w:rsid w:val="00603D3F"/>
    <w:rsid w:val="00603F89"/>
    <w:rsid w:val="006045CC"/>
    <w:rsid w:val="006053BA"/>
    <w:rsid w:val="00607243"/>
    <w:rsid w:val="00607BF0"/>
    <w:rsid w:val="00610953"/>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0A1C"/>
    <w:rsid w:val="00631656"/>
    <w:rsid w:val="00631CF5"/>
    <w:rsid w:val="00632208"/>
    <w:rsid w:val="006328E8"/>
    <w:rsid w:val="00632B8B"/>
    <w:rsid w:val="0063381D"/>
    <w:rsid w:val="00633B96"/>
    <w:rsid w:val="00634538"/>
    <w:rsid w:val="00634863"/>
    <w:rsid w:val="00634C9D"/>
    <w:rsid w:val="00635995"/>
    <w:rsid w:val="00635FA6"/>
    <w:rsid w:val="00636057"/>
    <w:rsid w:val="006360F4"/>
    <w:rsid w:val="0063628E"/>
    <w:rsid w:val="00636366"/>
    <w:rsid w:val="0063649A"/>
    <w:rsid w:val="006368C3"/>
    <w:rsid w:val="006374A2"/>
    <w:rsid w:val="00637A62"/>
    <w:rsid w:val="00637B82"/>
    <w:rsid w:val="00637E51"/>
    <w:rsid w:val="006408D5"/>
    <w:rsid w:val="006417BE"/>
    <w:rsid w:val="00641C1F"/>
    <w:rsid w:val="00641E9D"/>
    <w:rsid w:val="0064261F"/>
    <w:rsid w:val="006435E9"/>
    <w:rsid w:val="006438B5"/>
    <w:rsid w:val="00644525"/>
    <w:rsid w:val="006445EE"/>
    <w:rsid w:val="00644A3D"/>
    <w:rsid w:val="00645800"/>
    <w:rsid w:val="00646B99"/>
    <w:rsid w:val="00646B9E"/>
    <w:rsid w:val="00646DE1"/>
    <w:rsid w:val="00646FF4"/>
    <w:rsid w:val="006472A9"/>
    <w:rsid w:val="00647881"/>
    <w:rsid w:val="00647D0E"/>
    <w:rsid w:val="00647D50"/>
    <w:rsid w:val="00650A52"/>
    <w:rsid w:val="00650EE4"/>
    <w:rsid w:val="00651D3B"/>
    <w:rsid w:val="0065264F"/>
    <w:rsid w:val="0065412D"/>
    <w:rsid w:val="006547EC"/>
    <w:rsid w:val="00654EE1"/>
    <w:rsid w:val="00654FD7"/>
    <w:rsid w:val="00655583"/>
    <w:rsid w:val="00655726"/>
    <w:rsid w:val="00655EC2"/>
    <w:rsid w:val="0065637F"/>
    <w:rsid w:val="006566B6"/>
    <w:rsid w:val="00657C7F"/>
    <w:rsid w:val="006606EF"/>
    <w:rsid w:val="00660902"/>
    <w:rsid w:val="006618B5"/>
    <w:rsid w:val="00661E4A"/>
    <w:rsid w:val="006621B8"/>
    <w:rsid w:val="00662C36"/>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650"/>
    <w:rsid w:val="00675AB9"/>
    <w:rsid w:val="00675BB7"/>
    <w:rsid w:val="00675DE9"/>
    <w:rsid w:val="00676067"/>
    <w:rsid w:val="00676C8E"/>
    <w:rsid w:val="0067731C"/>
    <w:rsid w:val="00677A75"/>
    <w:rsid w:val="00677C50"/>
    <w:rsid w:val="00681569"/>
    <w:rsid w:val="00682122"/>
    <w:rsid w:val="00682594"/>
    <w:rsid w:val="006839CC"/>
    <w:rsid w:val="00683D77"/>
    <w:rsid w:val="00684AA9"/>
    <w:rsid w:val="00684DA4"/>
    <w:rsid w:val="0068514A"/>
    <w:rsid w:val="00686299"/>
    <w:rsid w:val="0068659D"/>
    <w:rsid w:val="00687454"/>
    <w:rsid w:val="00690073"/>
    <w:rsid w:val="00690A42"/>
    <w:rsid w:val="00690A6D"/>
    <w:rsid w:val="0069190A"/>
    <w:rsid w:val="006919A6"/>
    <w:rsid w:val="00691C47"/>
    <w:rsid w:val="00692515"/>
    <w:rsid w:val="00693F9F"/>
    <w:rsid w:val="0069424E"/>
    <w:rsid w:val="00694257"/>
    <w:rsid w:val="006943F1"/>
    <w:rsid w:val="00694DC3"/>
    <w:rsid w:val="00695932"/>
    <w:rsid w:val="00695EA5"/>
    <w:rsid w:val="00696167"/>
    <w:rsid w:val="006A03D2"/>
    <w:rsid w:val="006A2109"/>
    <w:rsid w:val="006A2712"/>
    <w:rsid w:val="006A32F7"/>
    <w:rsid w:val="006A3A8A"/>
    <w:rsid w:val="006A3B67"/>
    <w:rsid w:val="006A4A70"/>
    <w:rsid w:val="006B0216"/>
    <w:rsid w:val="006B0907"/>
    <w:rsid w:val="006B15C5"/>
    <w:rsid w:val="006B18CA"/>
    <w:rsid w:val="006B23D6"/>
    <w:rsid w:val="006B2D66"/>
    <w:rsid w:val="006B314F"/>
    <w:rsid w:val="006B393D"/>
    <w:rsid w:val="006B3B43"/>
    <w:rsid w:val="006B3C63"/>
    <w:rsid w:val="006B474F"/>
    <w:rsid w:val="006B4B80"/>
    <w:rsid w:val="006B4BD5"/>
    <w:rsid w:val="006B5279"/>
    <w:rsid w:val="006B6349"/>
    <w:rsid w:val="006B6374"/>
    <w:rsid w:val="006B6385"/>
    <w:rsid w:val="006B73E7"/>
    <w:rsid w:val="006B7DAA"/>
    <w:rsid w:val="006C017B"/>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59"/>
    <w:rsid w:val="006D10B2"/>
    <w:rsid w:val="006D115A"/>
    <w:rsid w:val="006D1261"/>
    <w:rsid w:val="006D2158"/>
    <w:rsid w:val="006D2249"/>
    <w:rsid w:val="006D24E5"/>
    <w:rsid w:val="006D2A9D"/>
    <w:rsid w:val="006D3974"/>
    <w:rsid w:val="006D4494"/>
    <w:rsid w:val="006D4DB8"/>
    <w:rsid w:val="006D587D"/>
    <w:rsid w:val="006D5C71"/>
    <w:rsid w:val="006D648C"/>
    <w:rsid w:val="006D791A"/>
    <w:rsid w:val="006E1189"/>
    <w:rsid w:val="006E1618"/>
    <w:rsid w:val="006E22AB"/>
    <w:rsid w:val="006E2721"/>
    <w:rsid w:val="006E2D42"/>
    <w:rsid w:val="006E2D92"/>
    <w:rsid w:val="006E3043"/>
    <w:rsid w:val="006E30B3"/>
    <w:rsid w:val="006E339D"/>
    <w:rsid w:val="006E33C5"/>
    <w:rsid w:val="006E3490"/>
    <w:rsid w:val="006E39B6"/>
    <w:rsid w:val="006E4480"/>
    <w:rsid w:val="006E47B7"/>
    <w:rsid w:val="006E545E"/>
    <w:rsid w:val="006E5C28"/>
    <w:rsid w:val="006E6086"/>
    <w:rsid w:val="006E66A9"/>
    <w:rsid w:val="006E67BC"/>
    <w:rsid w:val="006E685E"/>
    <w:rsid w:val="006E6B35"/>
    <w:rsid w:val="006E6DC7"/>
    <w:rsid w:val="006E70A4"/>
    <w:rsid w:val="006E75C0"/>
    <w:rsid w:val="006F0F40"/>
    <w:rsid w:val="006F1FF8"/>
    <w:rsid w:val="006F24C3"/>
    <w:rsid w:val="006F2E00"/>
    <w:rsid w:val="006F2E1F"/>
    <w:rsid w:val="006F3F1A"/>
    <w:rsid w:val="006F47A1"/>
    <w:rsid w:val="006F484C"/>
    <w:rsid w:val="006F486D"/>
    <w:rsid w:val="006F49E6"/>
    <w:rsid w:val="006F4A1A"/>
    <w:rsid w:val="006F5131"/>
    <w:rsid w:val="006F533C"/>
    <w:rsid w:val="006F5870"/>
    <w:rsid w:val="006F5C46"/>
    <w:rsid w:val="006F618B"/>
    <w:rsid w:val="006F68E1"/>
    <w:rsid w:val="006F71FB"/>
    <w:rsid w:val="006F74D8"/>
    <w:rsid w:val="006F7C46"/>
    <w:rsid w:val="00700391"/>
    <w:rsid w:val="007007F5"/>
    <w:rsid w:val="007012F4"/>
    <w:rsid w:val="007015ED"/>
    <w:rsid w:val="00701600"/>
    <w:rsid w:val="00701784"/>
    <w:rsid w:val="007024F3"/>
    <w:rsid w:val="007025E0"/>
    <w:rsid w:val="0070260D"/>
    <w:rsid w:val="00702884"/>
    <w:rsid w:val="0070306C"/>
    <w:rsid w:val="007034F5"/>
    <w:rsid w:val="00703A51"/>
    <w:rsid w:val="00704719"/>
    <w:rsid w:val="00704D9C"/>
    <w:rsid w:val="00705463"/>
    <w:rsid w:val="007066E5"/>
    <w:rsid w:val="007069B9"/>
    <w:rsid w:val="00707895"/>
    <w:rsid w:val="00707C35"/>
    <w:rsid w:val="00710559"/>
    <w:rsid w:val="00710757"/>
    <w:rsid w:val="00711415"/>
    <w:rsid w:val="00711ACD"/>
    <w:rsid w:val="007120CB"/>
    <w:rsid w:val="0071227E"/>
    <w:rsid w:val="0071232C"/>
    <w:rsid w:val="007124A1"/>
    <w:rsid w:val="007129DC"/>
    <w:rsid w:val="00712D12"/>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2E4"/>
    <w:rsid w:val="007253BD"/>
    <w:rsid w:val="0072578F"/>
    <w:rsid w:val="00726529"/>
    <w:rsid w:val="007266F7"/>
    <w:rsid w:val="00726947"/>
    <w:rsid w:val="00726B04"/>
    <w:rsid w:val="00726DC8"/>
    <w:rsid w:val="00726EAC"/>
    <w:rsid w:val="0072783D"/>
    <w:rsid w:val="00730566"/>
    <w:rsid w:val="00730827"/>
    <w:rsid w:val="00730C17"/>
    <w:rsid w:val="00731138"/>
    <w:rsid w:val="00731731"/>
    <w:rsid w:val="00732078"/>
    <w:rsid w:val="00732948"/>
    <w:rsid w:val="007344F9"/>
    <w:rsid w:val="00734A4E"/>
    <w:rsid w:val="007350F6"/>
    <w:rsid w:val="00735328"/>
    <w:rsid w:val="0073594A"/>
    <w:rsid w:val="00736C93"/>
    <w:rsid w:val="00736D36"/>
    <w:rsid w:val="00737493"/>
    <w:rsid w:val="00737672"/>
    <w:rsid w:val="00737819"/>
    <w:rsid w:val="00740230"/>
    <w:rsid w:val="00740553"/>
    <w:rsid w:val="00741311"/>
    <w:rsid w:val="0074190A"/>
    <w:rsid w:val="00741EFC"/>
    <w:rsid w:val="00742482"/>
    <w:rsid w:val="007436A6"/>
    <w:rsid w:val="0074408E"/>
    <w:rsid w:val="00744880"/>
    <w:rsid w:val="00745A29"/>
    <w:rsid w:val="00745D2A"/>
    <w:rsid w:val="00746485"/>
    <w:rsid w:val="00746576"/>
    <w:rsid w:val="007466A4"/>
    <w:rsid w:val="007469EC"/>
    <w:rsid w:val="00746A6B"/>
    <w:rsid w:val="00746F8B"/>
    <w:rsid w:val="00747399"/>
    <w:rsid w:val="00747BC2"/>
    <w:rsid w:val="00747DCF"/>
    <w:rsid w:val="007503BC"/>
    <w:rsid w:val="0075087D"/>
    <w:rsid w:val="007509DD"/>
    <w:rsid w:val="00750D6D"/>
    <w:rsid w:val="00750E4D"/>
    <w:rsid w:val="00751036"/>
    <w:rsid w:val="00751579"/>
    <w:rsid w:val="007517FD"/>
    <w:rsid w:val="0075252A"/>
    <w:rsid w:val="00752778"/>
    <w:rsid w:val="00752EF4"/>
    <w:rsid w:val="0075460F"/>
    <w:rsid w:val="007551A3"/>
    <w:rsid w:val="0075540A"/>
    <w:rsid w:val="00755CA8"/>
    <w:rsid w:val="007561A6"/>
    <w:rsid w:val="007564F4"/>
    <w:rsid w:val="00756DEF"/>
    <w:rsid w:val="00757944"/>
    <w:rsid w:val="00760826"/>
    <w:rsid w:val="00760990"/>
    <w:rsid w:val="0076146F"/>
    <w:rsid w:val="007615DD"/>
    <w:rsid w:val="007616EB"/>
    <w:rsid w:val="0076192C"/>
    <w:rsid w:val="00762229"/>
    <w:rsid w:val="007629D9"/>
    <w:rsid w:val="00762C13"/>
    <w:rsid w:val="0076336E"/>
    <w:rsid w:val="00763C62"/>
    <w:rsid w:val="00764683"/>
    <w:rsid w:val="00764773"/>
    <w:rsid w:val="00764DEB"/>
    <w:rsid w:val="00765068"/>
    <w:rsid w:val="00765269"/>
    <w:rsid w:val="00765936"/>
    <w:rsid w:val="007659EE"/>
    <w:rsid w:val="00765ADF"/>
    <w:rsid w:val="00766096"/>
    <w:rsid w:val="007667CB"/>
    <w:rsid w:val="00766818"/>
    <w:rsid w:val="0076713F"/>
    <w:rsid w:val="007672DF"/>
    <w:rsid w:val="007676E0"/>
    <w:rsid w:val="00767AC6"/>
    <w:rsid w:val="007708BD"/>
    <w:rsid w:val="00770948"/>
    <w:rsid w:val="00770FD2"/>
    <w:rsid w:val="007711E4"/>
    <w:rsid w:val="00771507"/>
    <w:rsid w:val="00771919"/>
    <w:rsid w:val="00771C39"/>
    <w:rsid w:val="00771D0B"/>
    <w:rsid w:val="007730A2"/>
    <w:rsid w:val="00773AA8"/>
    <w:rsid w:val="00773B69"/>
    <w:rsid w:val="00774093"/>
    <w:rsid w:val="00776045"/>
    <w:rsid w:val="00776159"/>
    <w:rsid w:val="0077693F"/>
    <w:rsid w:val="00776E63"/>
    <w:rsid w:val="00780016"/>
    <w:rsid w:val="007801B1"/>
    <w:rsid w:val="0078020C"/>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3296"/>
    <w:rsid w:val="007A40E0"/>
    <w:rsid w:val="007A4232"/>
    <w:rsid w:val="007A48F0"/>
    <w:rsid w:val="007A637A"/>
    <w:rsid w:val="007A679E"/>
    <w:rsid w:val="007A6B13"/>
    <w:rsid w:val="007A6D53"/>
    <w:rsid w:val="007A6FAF"/>
    <w:rsid w:val="007A755A"/>
    <w:rsid w:val="007A7A48"/>
    <w:rsid w:val="007B01DB"/>
    <w:rsid w:val="007B0442"/>
    <w:rsid w:val="007B07A2"/>
    <w:rsid w:val="007B0B52"/>
    <w:rsid w:val="007B0C8F"/>
    <w:rsid w:val="007B1238"/>
    <w:rsid w:val="007B1EFF"/>
    <w:rsid w:val="007B270A"/>
    <w:rsid w:val="007B2726"/>
    <w:rsid w:val="007B27BD"/>
    <w:rsid w:val="007B28C5"/>
    <w:rsid w:val="007B28CA"/>
    <w:rsid w:val="007B29C7"/>
    <w:rsid w:val="007B36E4"/>
    <w:rsid w:val="007B3A58"/>
    <w:rsid w:val="007B3D9A"/>
    <w:rsid w:val="007B3EC0"/>
    <w:rsid w:val="007B4397"/>
    <w:rsid w:val="007B4AD5"/>
    <w:rsid w:val="007B6061"/>
    <w:rsid w:val="007B688F"/>
    <w:rsid w:val="007B6A8F"/>
    <w:rsid w:val="007B6C30"/>
    <w:rsid w:val="007C0105"/>
    <w:rsid w:val="007C0302"/>
    <w:rsid w:val="007C0C3C"/>
    <w:rsid w:val="007C1131"/>
    <w:rsid w:val="007C11A9"/>
    <w:rsid w:val="007C2670"/>
    <w:rsid w:val="007C3007"/>
    <w:rsid w:val="007C32AC"/>
    <w:rsid w:val="007C32ED"/>
    <w:rsid w:val="007C3DFA"/>
    <w:rsid w:val="007C40F0"/>
    <w:rsid w:val="007C4BF5"/>
    <w:rsid w:val="007C4FBC"/>
    <w:rsid w:val="007C5433"/>
    <w:rsid w:val="007C5664"/>
    <w:rsid w:val="007C5CF0"/>
    <w:rsid w:val="007C65F4"/>
    <w:rsid w:val="007C680D"/>
    <w:rsid w:val="007C6CB2"/>
    <w:rsid w:val="007C6FB6"/>
    <w:rsid w:val="007C76AD"/>
    <w:rsid w:val="007C7C97"/>
    <w:rsid w:val="007D135E"/>
    <w:rsid w:val="007D1369"/>
    <w:rsid w:val="007D32CD"/>
    <w:rsid w:val="007D40FD"/>
    <w:rsid w:val="007D4113"/>
    <w:rsid w:val="007D4613"/>
    <w:rsid w:val="007D46FF"/>
    <w:rsid w:val="007D4A95"/>
    <w:rsid w:val="007D4C2A"/>
    <w:rsid w:val="007D538B"/>
    <w:rsid w:val="007D5BB0"/>
    <w:rsid w:val="007D5E94"/>
    <w:rsid w:val="007D6620"/>
    <w:rsid w:val="007D677A"/>
    <w:rsid w:val="007D79CB"/>
    <w:rsid w:val="007D7AEA"/>
    <w:rsid w:val="007D7D9D"/>
    <w:rsid w:val="007E0050"/>
    <w:rsid w:val="007E01AD"/>
    <w:rsid w:val="007E0842"/>
    <w:rsid w:val="007E14C1"/>
    <w:rsid w:val="007E16FE"/>
    <w:rsid w:val="007E1802"/>
    <w:rsid w:val="007E28C6"/>
    <w:rsid w:val="007E2B56"/>
    <w:rsid w:val="007E3166"/>
    <w:rsid w:val="007E4496"/>
    <w:rsid w:val="007E4C5C"/>
    <w:rsid w:val="007E4E39"/>
    <w:rsid w:val="007E5F5F"/>
    <w:rsid w:val="007E635B"/>
    <w:rsid w:val="007E65C7"/>
    <w:rsid w:val="007E7647"/>
    <w:rsid w:val="007F2CD5"/>
    <w:rsid w:val="007F48AE"/>
    <w:rsid w:val="007F4EE2"/>
    <w:rsid w:val="007F6333"/>
    <w:rsid w:val="007F7402"/>
    <w:rsid w:val="007F78D4"/>
    <w:rsid w:val="007F79E4"/>
    <w:rsid w:val="00800674"/>
    <w:rsid w:val="00801F4A"/>
    <w:rsid w:val="0080218E"/>
    <w:rsid w:val="00802A04"/>
    <w:rsid w:val="0080304E"/>
    <w:rsid w:val="00803718"/>
    <w:rsid w:val="00803ADC"/>
    <w:rsid w:val="00803BEB"/>
    <w:rsid w:val="008044C0"/>
    <w:rsid w:val="0080478D"/>
    <w:rsid w:val="00804F11"/>
    <w:rsid w:val="00805BFC"/>
    <w:rsid w:val="00805F7B"/>
    <w:rsid w:val="00807021"/>
    <w:rsid w:val="0080712E"/>
    <w:rsid w:val="0081003C"/>
    <w:rsid w:val="00810732"/>
    <w:rsid w:val="008116C9"/>
    <w:rsid w:val="00811D5A"/>
    <w:rsid w:val="008123A5"/>
    <w:rsid w:val="00813236"/>
    <w:rsid w:val="008167E5"/>
    <w:rsid w:val="00816A90"/>
    <w:rsid w:val="00816EC9"/>
    <w:rsid w:val="0081745B"/>
    <w:rsid w:val="00817727"/>
    <w:rsid w:val="00817982"/>
    <w:rsid w:val="00817A0E"/>
    <w:rsid w:val="00820182"/>
    <w:rsid w:val="008210DC"/>
    <w:rsid w:val="00821144"/>
    <w:rsid w:val="008211A1"/>
    <w:rsid w:val="00821F1C"/>
    <w:rsid w:val="008246F9"/>
    <w:rsid w:val="00824B9B"/>
    <w:rsid w:val="00826099"/>
    <w:rsid w:val="0082654C"/>
    <w:rsid w:val="00826B67"/>
    <w:rsid w:val="00826EC8"/>
    <w:rsid w:val="00827282"/>
    <w:rsid w:val="00827426"/>
    <w:rsid w:val="008277BB"/>
    <w:rsid w:val="008277EC"/>
    <w:rsid w:val="00830447"/>
    <w:rsid w:val="0083075D"/>
    <w:rsid w:val="0083128A"/>
    <w:rsid w:val="00831B05"/>
    <w:rsid w:val="00831F57"/>
    <w:rsid w:val="00832461"/>
    <w:rsid w:val="00832B77"/>
    <w:rsid w:val="008333BD"/>
    <w:rsid w:val="00833433"/>
    <w:rsid w:val="00834DE6"/>
    <w:rsid w:val="00834F89"/>
    <w:rsid w:val="008354A4"/>
    <w:rsid w:val="00835D18"/>
    <w:rsid w:val="00836748"/>
    <w:rsid w:val="008373C1"/>
    <w:rsid w:val="008375EA"/>
    <w:rsid w:val="00837BD1"/>
    <w:rsid w:val="00840682"/>
    <w:rsid w:val="00840AE0"/>
    <w:rsid w:val="008411B5"/>
    <w:rsid w:val="00841690"/>
    <w:rsid w:val="0084296E"/>
    <w:rsid w:val="008429F5"/>
    <w:rsid w:val="0084350D"/>
    <w:rsid w:val="00843598"/>
    <w:rsid w:val="00843D10"/>
    <w:rsid w:val="00844002"/>
    <w:rsid w:val="00844235"/>
    <w:rsid w:val="00844432"/>
    <w:rsid w:val="00844C01"/>
    <w:rsid w:val="00845122"/>
    <w:rsid w:val="00845AA3"/>
    <w:rsid w:val="00845E31"/>
    <w:rsid w:val="00846726"/>
    <w:rsid w:val="008473F7"/>
    <w:rsid w:val="00847CE7"/>
    <w:rsid w:val="008515A3"/>
    <w:rsid w:val="00851605"/>
    <w:rsid w:val="008521DA"/>
    <w:rsid w:val="00852A34"/>
    <w:rsid w:val="008536EE"/>
    <w:rsid w:val="0085379E"/>
    <w:rsid w:val="00853B5A"/>
    <w:rsid w:val="00853DE0"/>
    <w:rsid w:val="00854937"/>
    <w:rsid w:val="00854DE9"/>
    <w:rsid w:val="00854DFE"/>
    <w:rsid w:val="008553C8"/>
    <w:rsid w:val="00855B20"/>
    <w:rsid w:val="008560DD"/>
    <w:rsid w:val="00856350"/>
    <w:rsid w:val="00856621"/>
    <w:rsid w:val="00856BF1"/>
    <w:rsid w:val="00856D3A"/>
    <w:rsid w:val="00856E1D"/>
    <w:rsid w:val="0085714E"/>
    <w:rsid w:val="0086097D"/>
    <w:rsid w:val="00860D15"/>
    <w:rsid w:val="00860F89"/>
    <w:rsid w:val="0086107A"/>
    <w:rsid w:val="0086158D"/>
    <w:rsid w:val="008619AC"/>
    <w:rsid w:val="00862CFD"/>
    <w:rsid w:val="00863076"/>
    <w:rsid w:val="008635B9"/>
    <w:rsid w:val="00863DF2"/>
    <w:rsid w:val="00863F68"/>
    <w:rsid w:val="00864494"/>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3F8"/>
    <w:rsid w:val="00871658"/>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0FDB"/>
    <w:rsid w:val="0088118D"/>
    <w:rsid w:val="00882369"/>
    <w:rsid w:val="00882E6A"/>
    <w:rsid w:val="00883474"/>
    <w:rsid w:val="00884237"/>
    <w:rsid w:val="00884529"/>
    <w:rsid w:val="00884CB7"/>
    <w:rsid w:val="00884FC9"/>
    <w:rsid w:val="00885462"/>
    <w:rsid w:val="00886394"/>
    <w:rsid w:val="008865B3"/>
    <w:rsid w:val="00886966"/>
    <w:rsid w:val="00887230"/>
    <w:rsid w:val="00887B69"/>
    <w:rsid w:val="0089048F"/>
    <w:rsid w:val="00890FB1"/>
    <w:rsid w:val="00892346"/>
    <w:rsid w:val="00892373"/>
    <w:rsid w:val="008927A0"/>
    <w:rsid w:val="00892F09"/>
    <w:rsid w:val="00894435"/>
    <w:rsid w:val="00894E12"/>
    <w:rsid w:val="00895EA3"/>
    <w:rsid w:val="00896A6A"/>
    <w:rsid w:val="00897AED"/>
    <w:rsid w:val="00897C10"/>
    <w:rsid w:val="00897D5A"/>
    <w:rsid w:val="008A01F7"/>
    <w:rsid w:val="008A063B"/>
    <w:rsid w:val="008A0995"/>
    <w:rsid w:val="008A0EDB"/>
    <w:rsid w:val="008A2487"/>
    <w:rsid w:val="008A303E"/>
    <w:rsid w:val="008A3430"/>
    <w:rsid w:val="008A3D77"/>
    <w:rsid w:val="008A4AE7"/>
    <w:rsid w:val="008A60F5"/>
    <w:rsid w:val="008A6674"/>
    <w:rsid w:val="008A6AEE"/>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5347"/>
    <w:rsid w:val="008C6025"/>
    <w:rsid w:val="008C61EB"/>
    <w:rsid w:val="008C6771"/>
    <w:rsid w:val="008C6BE3"/>
    <w:rsid w:val="008C7036"/>
    <w:rsid w:val="008C71B7"/>
    <w:rsid w:val="008C7C27"/>
    <w:rsid w:val="008D0188"/>
    <w:rsid w:val="008D124B"/>
    <w:rsid w:val="008D15F5"/>
    <w:rsid w:val="008D1788"/>
    <w:rsid w:val="008D1D5B"/>
    <w:rsid w:val="008D355D"/>
    <w:rsid w:val="008D3B84"/>
    <w:rsid w:val="008D46DA"/>
    <w:rsid w:val="008D4BFB"/>
    <w:rsid w:val="008D4CB3"/>
    <w:rsid w:val="008D7296"/>
    <w:rsid w:val="008E10B6"/>
    <w:rsid w:val="008E24AA"/>
    <w:rsid w:val="008E2F78"/>
    <w:rsid w:val="008E3011"/>
    <w:rsid w:val="008E4866"/>
    <w:rsid w:val="008E49C6"/>
    <w:rsid w:val="008E5667"/>
    <w:rsid w:val="008F0900"/>
    <w:rsid w:val="008F0F21"/>
    <w:rsid w:val="008F11AD"/>
    <w:rsid w:val="008F1336"/>
    <w:rsid w:val="008F190D"/>
    <w:rsid w:val="008F21F4"/>
    <w:rsid w:val="008F2735"/>
    <w:rsid w:val="008F36D1"/>
    <w:rsid w:val="008F36ED"/>
    <w:rsid w:val="008F3A5D"/>
    <w:rsid w:val="008F4402"/>
    <w:rsid w:val="008F4D69"/>
    <w:rsid w:val="008F4ED6"/>
    <w:rsid w:val="008F522C"/>
    <w:rsid w:val="008F5393"/>
    <w:rsid w:val="008F6324"/>
    <w:rsid w:val="008F6CCE"/>
    <w:rsid w:val="008F6D1F"/>
    <w:rsid w:val="008F6E4E"/>
    <w:rsid w:val="008F6F33"/>
    <w:rsid w:val="00901A3C"/>
    <w:rsid w:val="00901CD8"/>
    <w:rsid w:val="00901EE7"/>
    <w:rsid w:val="00902511"/>
    <w:rsid w:val="009027F6"/>
    <w:rsid w:val="009029D4"/>
    <w:rsid w:val="00902AE8"/>
    <w:rsid w:val="00904DEE"/>
    <w:rsid w:val="00905322"/>
    <w:rsid w:val="00905A60"/>
    <w:rsid w:val="00905F49"/>
    <w:rsid w:val="00905FD5"/>
    <w:rsid w:val="009067A0"/>
    <w:rsid w:val="00907B20"/>
    <w:rsid w:val="00910347"/>
    <w:rsid w:val="00910DE5"/>
    <w:rsid w:val="0091184D"/>
    <w:rsid w:val="00911F3B"/>
    <w:rsid w:val="009120D6"/>
    <w:rsid w:val="00913630"/>
    <w:rsid w:val="00915466"/>
    <w:rsid w:val="009154D4"/>
    <w:rsid w:val="0091564D"/>
    <w:rsid w:val="009157C3"/>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3A26"/>
    <w:rsid w:val="009241C0"/>
    <w:rsid w:val="0092493A"/>
    <w:rsid w:val="00926708"/>
    <w:rsid w:val="00926C55"/>
    <w:rsid w:val="00927C7D"/>
    <w:rsid w:val="00930D8E"/>
    <w:rsid w:val="00930F05"/>
    <w:rsid w:val="0093149D"/>
    <w:rsid w:val="009323B4"/>
    <w:rsid w:val="00932D24"/>
    <w:rsid w:val="0093453C"/>
    <w:rsid w:val="00934834"/>
    <w:rsid w:val="009348FB"/>
    <w:rsid w:val="009357C6"/>
    <w:rsid w:val="00935AF7"/>
    <w:rsid w:val="00935EA3"/>
    <w:rsid w:val="00937C18"/>
    <w:rsid w:val="009402E7"/>
    <w:rsid w:val="00941959"/>
    <w:rsid w:val="00941A5C"/>
    <w:rsid w:val="0094225C"/>
    <w:rsid w:val="00942885"/>
    <w:rsid w:val="0094295F"/>
    <w:rsid w:val="00942BF8"/>
    <w:rsid w:val="00942D04"/>
    <w:rsid w:val="00943760"/>
    <w:rsid w:val="00944E7E"/>
    <w:rsid w:val="009453C1"/>
    <w:rsid w:val="00945699"/>
    <w:rsid w:val="00945D3D"/>
    <w:rsid w:val="00946C6E"/>
    <w:rsid w:val="009474B3"/>
    <w:rsid w:val="009508D1"/>
    <w:rsid w:val="00951708"/>
    <w:rsid w:val="009517F2"/>
    <w:rsid w:val="00951C75"/>
    <w:rsid w:val="0095274D"/>
    <w:rsid w:val="009537B3"/>
    <w:rsid w:val="0095416D"/>
    <w:rsid w:val="00954C9E"/>
    <w:rsid w:val="009565DE"/>
    <w:rsid w:val="00956BAD"/>
    <w:rsid w:val="00956D0A"/>
    <w:rsid w:val="009571D3"/>
    <w:rsid w:val="009575FA"/>
    <w:rsid w:val="00960886"/>
    <w:rsid w:val="009611F9"/>
    <w:rsid w:val="0096206C"/>
    <w:rsid w:val="00963213"/>
    <w:rsid w:val="009638C4"/>
    <w:rsid w:val="00964086"/>
    <w:rsid w:val="00964A35"/>
    <w:rsid w:val="009650D7"/>
    <w:rsid w:val="009659C7"/>
    <w:rsid w:val="00965FE8"/>
    <w:rsid w:val="00966483"/>
    <w:rsid w:val="009677C8"/>
    <w:rsid w:val="009679C2"/>
    <w:rsid w:val="009700F6"/>
    <w:rsid w:val="00971801"/>
    <w:rsid w:val="009729E1"/>
    <w:rsid w:val="00972B28"/>
    <w:rsid w:val="00972EE2"/>
    <w:rsid w:val="00972FCC"/>
    <w:rsid w:val="0097330C"/>
    <w:rsid w:val="0097366C"/>
    <w:rsid w:val="00973D02"/>
    <w:rsid w:val="00973EE0"/>
    <w:rsid w:val="00974A3F"/>
    <w:rsid w:val="00975D0B"/>
    <w:rsid w:val="00976572"/>
    <w:rsid w:val="00976828"/>
    <w:rsid w:val="0098056A"/>
    <w:rsid w:val="00980574"/>
    <w:rsid w:val="00980943"/>
    <w:rsid w:val="0098129A"/>
    <w:rsid w:val="009815CE"/>
    <w:rsid w:val="009819FC"/>
    <w:rsid w:val="009824AC"/>
    <w:rsid w:val="0098263B"/>
    <w:rsid w:val="00983E43"/>
    <w:rsid w:val="00984599"/>
    <w:rsid w:val="00984E4B"/>
    <w:rsid w:val="00985535"/>
    <w:rsid w:val="0098596E"/>
    <w:rsid w:val="00985DC9"/>
    <w:rsid w:val="00986814"/>
    <w:rsid w:val="0098693A"/>
    <w:rsid w:val="0098718F"/>
    <w:rsid w:val="0099038C"/>
    <w:rsid w:val="00990890"/>
    <w:rsid w:val="00991855"/>
    <w:rsid w:val="0099194B"/>
    <w:rsid w:val="00992876"/>
    <w:rsid w:val="009946BB"/>
    <w:rsid w:val="00994AD9"/>
    <w:rsid w:val="00995048"/>
    <w:rsid w:val="00996115"/>
    <w:rsid w:val="0099758D"/>
    <w:rsid w:val="00997AB7"/>
    <w:rsid w:val="00997B26"/>
    <w:rsid w:val="00997B7E"/>
    <w:rsid w:val="009A045D"/>
    <w:rsid w:val="009A0703"/>
    <w:rsid w:val="009A0B13"/>
    <w:rsid w:val="009A18CC"/>
    <w:rsid w:val="009A1B20"/>
    <w:rsid w:val="009A2868"/>
    <w:rsid w:val="009A2C4F"/>
    <w:rsid w:val="009A2FC6"/>
    <w:rsid w:val="009A3C35"/>
    <w:rsid w:val="009A4088"/>
    <w:rsid w:val="009A445E"/>
    <w:rsid w:val="009A4AF1"/>
    <w:rsid w:val="009A5B61"/>
    <w:rsid w:val="009A5C08"/>
    <w:rsid w:val="009B0114"/>
    <w:rsid w:val="009B0F2C"/>
    <w:rsid w:val="009B1089"/>
    <w:rsid w:val="009B1727"/>
    <w:rsid w:val="009B1EE2"/>
    <w:rsid w:val="009B3095"/>
    <w:rsid w:val="009B42C4"/>
    <w:rsid w:val="009B46A8"/>
    <w:rsid w:val="009B5CB1"/>
    <w:rsid w:val="009B5EBE"/>
    <w:rsid w:val="009B6F39"/>
    <w:rsid w:val="009B7067"/>
    <w:rsid w:val="009B70DA"/>
    <w:rsid w:val="009B74DB"/>
    <w:rsid w:val="009B7BDF"/>
    <w:rsid w:val="009C033D"/>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5790"/>
    <w:rsid w:val="009D61C8"/>
    <w:rsid w:val="009D67D3"/>
    <w:rsid w:val="009D6AA6"/>
    <w:rsid w:val="009D6F57"/>
    <w:rsid w:val="009D71B3"/>
    <w:rsid w:val="009D7DC0"/>
    <w:rsid w:val="009E0932"/>
    <w:rsid w:val="009E0A66"/>
    <w:rsid w:val="009E0D95"/>
    <w:rsid w:val="009E0FF2"/>
    <w:rsid w:val="009E1417"/>
    <w:rsid w:val="009E18E3"/>
    <w:rsid w:val="009E1B89"/>
    <w:rsid w:val="009E20A6"/>
    <w:rsid w:val="009E2E0A"/>
    <w:rsid w:val="009E330E"/>
    <w:rsid w:val="009E3620"/>
    <w:rsid w:val="009E37C0"/>
    <w:rsid w:val="009E4AB5"/>
    <w:rsid w:val="009E616C"/>
    <w:rsid w:val="009E6B90"/>
    <w:rsid w:val="009E6F0B"/>
    <w:rsid w:val="009E7167"/>
    <w:rsid w:val="009E7BB1"/>
    <w:rsid w:val="009F0089"/>
    <w:rsid w:val="009F13AF"/>
    <w:rsid w:val="009F337D"/>
    <w:rsid w:val="009F3BF2"/>
    <w:rsid w:val="009F3C4D"/>
    <w:rsid w:val="009F3C85"/>
    <w:rsid w:val="009F3CA4"/>
    <w:rsid w:val="009F4994"/>
    <w:rsid w:val="009F5062"/>
    <w:rsid w:val="009F5175"/>
    <w:rsid w:val="009F5CC9"/>
    <w:rsid w:val="009F6296"/>
    <w:rsid w:val="009F6990"/>
    <w:rsid w:val="009F7036"/>
    <w:rsid w:val="009F7458"/>
    <w:rsid w:val="009F7696"/>
    <w:rsid w:val="009F7A2F"/>
    <w:rsid w:val="009F7AAD"/>
    <w:rsid w:val="009F7B1C"/>
    <w:rsid w:val="00A0215D"/>
    <w:rsid w:val="00A02C93"/>
    <w:rsid w:val="00A03BC0"/>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0B9A"/>
    <w:rsid w:val="00A1116C"/>
    <w:rsid w:val="00A11D49"/>
    <w:rsid w:val="00A12519"/>
    <w:rsid w:val="00A12D9B"/>
    <w:rsid w:val="00A1332F"/>
    <w:rsid w:val="00A137DC"/>
    <w:rsid w:val="00A139EA"/>
    <w:rsid w:val="00A15B56"/>
    <w:rsid w:val="00A165D1"/>
    <w:rsid w:val="00A1668F"/>
    <w:rsid w:val="00A16C51"/>
    <w:rsid w:val="00A16FDC"/>
    <w:rsid w:val="00A170A9"/>
    <w:rsid w:val="00A17D60"/>
    <w:rsid w:val="00A20556"/>
    <w:rsid w:val="00A209C6"/>
    <w:rsid w:val="00A20B28"/>
    <w:rsid w:val="00A210AB"/>
    <w:rsid w:val="00A21430"/>
    <w:rsid w:val="00A21B7F"/>
    <w:rsid w:val="00A21F51"/>
    <w:rsid w:val="00A23C82"/>
    <w:rsid w:val="00A23FC0"/>
    <w:rsid w:val="00A24EC8"/>
    <w:rsid w:val="00A250F0"/>
    <w:rsid w:val="00A253A5"/>
    <w:rsid w:val="00A25440"/>
    <w:rsid w:val="00A2580A"/>
    <w:rsid w:val="00A25DF2"/>
    <w:rsid w:val="00A26D0B"/>
    <w:rsid w:val="00A271EC"/>
    <w:rsid w:val="00A272D4"/>
    <w:rsid w:val="00A27C90"/>
    <w:rsid w:val="00A3096F"/>
    <w:rsid w:val="00A30EA0"/>
    <w:rsid w:val="00A317F2"/>
    <w:rsid w:val="00A319CA"/>
    <w:rsid w:val="00A3257D"/>
    <w:rsid w:val="00A32C0A"/>
    <w:rsid w:val="00A331B4"/>
    <w:rsid w:val="00A34424"/>
    <w:rsid w:val="00A347F2"/>
    <w:rsid w:val="00A34A57"/>
    <w:rsid w:val="00A3589E"/>
    <w:rsid w:val="00A35EFD"/>
    <w:rsid w:val="00A36028"/>
    <w:rsid w:val="00A362D1"/>
    <w:rsid w:val="00A373C3"/>
    <w:rsid w:val="00A404B6"/>
    <w:rsid w:val="00A40681"/>
    <w:rsid w:val="00A40C97"/>
    <w:rsid w:val="00A41118"/>
    <w:rsid w:val="00A41C2A"/>
    <w:rsid w:val="00A425D2"/>
    <w:rsid w:val="00A42F65"/>
    <w:rsid w:val="00A42FAF"/>
    <w:rsid w:val="00A435C0"/>
    <w:rsid w:val="00A43D35"/>
    <w:rsid w:val="00A43DCC"/>
    <w:rsid w:val="00A45919"/>
    <w:rsid w:val="00A472DA"/>
    <w:rsid w:val="00A47A30"/>
    <w:rsid w:val="00A50607"/>
    <w:rsid w:val="00A506B2"/>
    <w:rsid w:val="00A51670"/>
    <w:rsid w:val="00A517AC"/>
    <w:rsid w:val="00A51C7C"/>
    <w:rsid w:val="00A53428"/>
    <w:rsid w:val="00A540FA"/>
    <w:rsid w:val="00A54EB8"/>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3ABD"/>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1F02"/>
    <w:rsid w:val="00A720B6"/>
    <w:rsid w:val="00A72681"/>
    <w:rsid w:val="00A727A2"/>
    <w:rsid w:val="00A72A18"/>
    <w:rsid w:val="00A72C4F"/>
    <w:rsid w:val="00A73057"/>
    <w:rsid w:val="00A753D5"/>
    <w:rsid w:val="00A75467"/>
    <w:rsid w:val="00A76276"/>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E1C"/>
    <w:rsid w:val="00A859DB"/>
    <w:rsid w:val="00A85A1A"/>
    <w:rsid w:val="00A87495"/>
    <w:rsid w:val="00A877D1"/>
    <w:rsid w:val="00A87B94"/>
    <w:rsid w:val="00A90035"/>
    <w:rsid w:val="00A90381"/>
    <w:rsid w:val="00A9087F"/>
    <w:rsid w:val="00A908AB"/>
    <w:rsid w:val="00A9090E"/>
    <w:rsid w:val="00A90B51"/>
    <w:rsid w:val="00A91288"/>
    <w:rsid w:val="00A91555"/>
    <w:rsid w:val="00A91ABE"/>
    <w:rsid w:val="00A9258E"/>
    <w:rsid w:val="00A944C2"/>
    <w:rsid w:val="00A948F9"/>
    <w:rsid w:val="00A9496D"/>
    <w:rsid w:val="00A95186"/>
    <w:rsid w:val="00A9636C"/>
    <w:rsid w:val="00A969EF"/>
    <w:rsid w:val="00A96ECB"/>
    <w:rsid w:val="00A97456"/>
    <w:rsid w:val="00A97515"/>
    <w:rsid w:val="00A979F7"/>
    <w:rsid w:val="00A97EC8"/>
    <w:rsid w:val="00AA0295"/>
    <w:rsid w:val="00AA05B1"/>
    <w:rsid w:val="00AA0946"/>
    <w:rsid w:val="00AA0C0A"/>
    <w:rsid w:val="00AA0F77"/>
    <w:rsid w:val="00AA1B1E"/>
    <w:rsid w:val="00AA1BED"/>
    <w:rsid w:val="00AA1D96"/>
    <w:rsid w:val="00AA1F89"/>
    <w:rsid w:val="00AA222C"/>
    <w:rsid w:val="00AA240B"/>
    <w:rsid w:val="00AA3637"/>
    <w:rsid w:val="00AA3C93"/>
    <w:rsid w:val="00AA3F61"/>
    <w:rsid w:val="00AA4273"/>
    <w:rsid w:val="00AA4915"/>
    <w:rsid w:val="00AA509D"/>
    <w:rsid w:val="00AA57E4"/>
    <w:rsid w:val="00AA59EB"/>
    <w:rsid w:val="00AA5C5D"/>
    <w:rsid w:val="00AA5D24"/>
    <w:rsid w:val="00AA6B34"/>
    <w:rsid w:val="00AA76AA"/>
    <w:rsid w:val="00AA7997"/>
    <w:rsid w:val="00AA7A82"/>
    <w:rsid w:val="00AB0FB9"/>
    <w:rsid w:val="00AB1B41"/>
    <w:rsid w:val="00AB1B5B"/>
    <w:rsid w:val="00AB24C4"/>
    <w:rsid w:val="00AB25F5"/>
    <w:rsid w:val="00AB29F5"/>
    <w:rsid w:val="00AB3332"/>
    <w:rsid w:val="00AB3785"/>
    <w:rsid w:val="00AB4991"/>
    <w:rsid w:val="00AB4D3F"/>
    <w:rsid w:val="00AB5119"/>
    <w:rsid w:val="00AB540C"/>
    <w:rsid w:val="00AB712C"/>
    <w:rsid w:val="00AB7A39"/>
    <w:rsid w:val="00AC0052"/>
    <w:rsid w:val="00AC0A7A"/>
    <w:rsid w:val="00AC2065"/>
    <w:rsid w:val="00AC2C37"/>
    <w:rsid w:val="00AC2D9D"/>
    <w:rsid w:val="00AC34D8"/>
    <w:rsid w:val="00AC4483"/>
    <w:rsid w:val="00AC506A"/>
    <w:rsid w:val="00AC54AD"/>
    <w:rsid w:val="00AD020F"/>
    <w:rsid w:val="00AD0517"/>
    <w:rsid w:val="00AD17FC"/>
    <w:rsid w:val="00AD1EEE"/>
    <w:rsid w:val="00AD288B"/>
    <w:rsid w:val="00AD2D28"/>
    <w:rsid w:val="00AD2F4F"/>
    <w:rsid w:val="00AD31FC"/>
    <w:rsid w:val="00AD35C4"/>
    <w:rsid w:val="00AD35EB"/>
    <w:rsid w:val="00AD4810"/>
    <w:rsid w:val="00AD4A61"/>
    <w:rsid w:val="00AD5415"/>
    <w:rsid w:val="00AD580B"/>
    <w:rsid w:val="00AD5A64"/>
    <w:rsid w:val="00AD64C8"/>
    <w:rsid w:val="00AD6B60"/>
    <w:rsid w:val="00AD7390"/>
    <w:rsid w:val="00AD7791"/>
    <w:rsid w:val="00AE01CF"/>
    <w:rsid w:val="00AE0766"/>
    <w:rsid w:val="00AE15C6"/>
    <w:rsid w:val="00AE18ED"/>
    <w:rsid w:val="00AE1D42"/>
    <w:rsid w:val="00AE20B4"/>
    <w:rsid w:val="00AE22B9"/>
    <w:rsid w:val="00AE2A88"/>
    <w:rsid w:val="00AE3032"/>
    <w:rsid w:val="00AE308C"/>
    <w:rsid w:val="00AE33D9"/>
    <w:rsid w:val="00AE33E8"/>
    <w:rsid w:val="00AE355B"/>
    <w:rsid w:val="00AE3693"/>
    <w:rsid w:val="00AE3B94"/>
    <w:rsid w:val="00AE4908"/>
    <w:rsid w:val="00AE4EE8"/>
    <w:rsid w:val="00AE6311"/>
    <w:rsid w:val="00AE6B26"/>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AF7515"/>
    <w:rsid w:val="00B00D29"/>
    <w:rsid w:val="00B00D66"/>
    <w:rsid w:val="00B00E1A"/>
    <w:rsid w:val="00B011B9"/>
    <w:rsid w:val="00B012FD"/>
    <w:rsid w:val="00B01A4D"/>
    <w:rsid w:val="00B01F27"/>
    <w:rsid w:val="00B02257"/>
    <w:rsid w:val="00B02F79"/>
    <w:rsid w:val="00B02FA5"/>
    <w:rsid w:val="00B0300E"/>
    <w:rsid w:val="00B04395"/>
    <w:rsid w:val="00B047F9"/>
    <w:rsid w:val="00B049F4"/>
    <w:rsid w:val="00B05A75"/>
    <w:rsid w:val="00B05AC6"/>
    <w:rsid w:val="00B0638C"/>
    <w:rsid w:val="00B065D3"/>
    <w:rsid w:val="00B070F0"/>
    <w:rsid w:val="00B07518"/>
    <w:rsid w:val="00B10AE2"/>
    <w:rsid w:val="00B115EA"/>
    <w:rsid w:val="00B12521"/>
    <w:rsid w:val="00B125E8"/>
    <w:rsid w:val="00B1357A"/>
    <w:rsid w:val="00B13E51"/>
    <w:rsid w:val="00B14677"/>
    <w:rsid w:val="00B14841"/>
    <w:rsid w:val="00B14F09"/>
    <w:rsid w:val="00B165C3"/>
    <w:rsid w:val="00B167E3"/>
    <w:rsid w:val="00B20937"/>
    <w:rsid w:val="00B20AA4"/>
    <w:rsid w:val="00B20EFA"/>
    <w:rsid w:val="00B210EB"/>
    <w:rsid w:val="00B21142"/>
    <w:rsid w:val="00B21C6F"/>
    <w:rsid w:val="00B21E22"/>
    <w:rsid w:val="00B22075"/>
    <w:rsid w:val="00B22384"/>
    <w:rsid w:val="00B226E2"/>
    <w:rsid w:val="00B22809"/>
    <w:rsid w:val="00B234E6"/>
    <w:rsid w:val="00B24665"/>
    <w:rsid w:val="00B24E32"/>
    <w:rsid w:val="00B254CA"/>
    <w:rsid w:val="00B25853"/>
    <w:rsid w:val="00B27696"/>
    <w:rsid w:val="00B301B5"/>
    <w:rsid w:val="00B3129F"/>
    <w:rsid w:val="00B318E3"/>
    <w:rsid w:val="00B31D6F"/>
    <w:rsid w:val="00B31E9E"/>
    <w:rsid w:val="00B32D76"/>
    <w:rsid w:val="00B33E14"/>
    <w:rsid w:val="00B33E22"/>
    <w:rsid w:val="00B341CF"/>
    <w:rsid w:val="00B34845"/>
    <w:rsid w:val="00B34E05"/>
    <w:rsid w:val="00B35CAE"/>
    <w:rsid w:val="00B35E0C"/>
    <w:rsid w:val="00B36AC0"/>
    <w:rsid w:val="00B3780F"/>
    <w:rsid w:val="00B37EEB"/>
    <w:rsid w:val="00B40503"/>
    <w:rsid w:val="00B406AB"/>
    <w:rsid w:val="00B409EB"/>
    <w:rsid w:val="00B410BA"/>
    <w:rsid w:val="00B411EB"/>
    <w:rsid w:val="00B4208D"/>
    <w:rsid w:val="00B43551"/>
    <w:rsid w:val="00B44233"/>
    <w:rsid w:val="00B446CE"/>
    <w:rsid w:val="00B448F2"/>
    <w:rsid w:val="00B461B6"/>
    <w:rsid w:val="00B4640A"/>
    <w:rsid w:val="00B467F4"/>
    <w:rsid w:val="00B474FE"/>
    <w:rsid w:val="00B476DF"/>
    <w:rsid w:val="00B47D1C"/>
    <w:rsid w:val="00B50C2D"/>
    <w:rsid w:val="00B51083"/>
    <w:rsid w:val="00B511BA"/>
    <w:rsid w:val="00B516B1"/>
    <w:rsid w:val="00B5255D"/>
    <w:rsid w:val="00B52635"/>
    <w:rsid w:val="00B5282E"/>
    <w:rsid w:val="00B54192"/>
    <w:rsid w:val="00B54273"/>
    <w:rsid w:val="00B5465D"/>
    <w:rsid w:val="00B568AC"/>
    <w:rsid w:val="00B57B81"/>
    <w:rsid w:val="00B60A0C"/>
    <w:rsid w:val="00B60F7E"/>
    <w:rsid w:val="00B623C2"/>
    <w:rsid w:val="00B62D0E"/>
    <w:rsid w:val="00B631D6"/>
    <w:rsid w:val="00B651B2"/>
    <w:rsid w:val="00B66665"/>
    <w:rsid w:val="00B66B98"/>
    <w:rsid w:val="00B67CF9"/>
    <w:rsid w:val="00B701A1"/>
    <w:rsid w:val="00B7091D"/>
    <w:rsid w:val="00B70BC0"/>
    <w:rsid w:val="00B70F56"/>
    <w:rsid w:val="00B7124B"/>
    <w:rsid w:val="00B71E59"/>
    <w:rsid w:val="00B71EF1"/>
    <w:rsid w:val="00B7349E"/>
    <w:rsid w:val="00B73606"/>
    <w:rsid w:val="00B73B77"/>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2AD1"/>
    <w:rsid w:val="00B93D72"/>
    <w:rsid w:val="00B94630"/>
    <w:rsid w:val="00B950E8"/>
    <w:rsid w:val="00B9567E"/>
    <w:rsid w:val="00B961D7"/>
    <w:rsid w:val="00B96A6F"/>
    <w:rsid w:val="00B96EF4"/>
    <w:rsid w:val="00B973B5"/>
    <w:rsid w:val="00B976B9"/>
    <w:rsid w:val="00B97877"/>
    <w:rsid w:val="00B97971"/>
    <w:rsid w:val="00B97A3F"/>
    <w:rsid w:val="00B97DE9"/>
    <w:rsid w:val="00BA0A64"/>
    <w:rsid w:val="00BA14D3"/>
    <w:rsid w:val="00BA1515"/>
    <w:rsid w:val="00BA2145"/>
    <w:rsid w:val="00BA2363"/>
    <w:rsid w:val="00BA28B1"/>
    <w:rsid w:val="00BA2BFE"/>
    <w:rsid w:val="00BA466E"/>
    <w:rsid w:val="00BA4D74"/>
    <w:rsid w:val="00BA533C"/>
    <w:rsid w:val="00BA5B5F"/>
    <w:rsid w:val="00BA5F21"/>
    <w:rsid w:val="00BA6037"/>
    <w:rsid w:val="00BA68DC"/>
    <w:rsid w:val="00BA69EA"/>
    <w:rsid w:val="00BB0298"/>
    <w:rsid w:val="00BB0409"/>
    <w:rsid w:val="00BB05E6"/>
    <w:rsid w:val="00BB2E22"/>
    <w:rsid w:val="00BB305D"/>
    <w:rsid w:val="00BB344C"/>
    <w:rsid w:val="00BB4399"/>
    <w:rsid w:val="00BB45FA"/>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861"/>
    <w:rsid w:val="00BC5E1F"/>
    <w:rsid w:val="00BC6807"/>
    <w:rsid w:val="00BC6DF2"/>
    <w:rsid w:val="00BC7B1B"/>
    <w:rsid w:val="00BD07F0"/>
    <w:rsid w:val="00BD22E3"/>
    <w:rsid w:val="00BD2E3C"/>
    <w:rsid w:val="00BD33D0"/>
    <w:rsid w:val="00BD35A6"/>
    <w:rsid w:val="00BD4BC1"/>
    <w:rsid w:val="00BD505E"/>
    <w:rsid w:val="00BD5226"/>
    <w:rsid w:val="00BD53D0"/>
    <w:rsid w:val="00BD5B1B"/>
    <w:rsid w:val="00BD64F4"/>
    <w:rsid w:val="00BD69CA"/>
    <w:rsid w:val="00BD6B2B"/>
    <w:rsid w:val="00BE0A95"/>
    <w:rsid w:val="00BE0DB5"/>
    <w:rsid w:val="00BE10A7"/>
    <w:rsid w:val="00BE1263"/>
    <w:rsid w:val="00BE197F"/>
    <w:rsid w:val="00BE1B78"/>
    <w:rsid w:val="00BE1E72"/>
    <w:rsid w:val="00BE2638"/>
    <w:rsid w:val="00BE463A"/>
    <w:rsid w:val="00BE5B7D"/>
    <w:rsid w:val="00BE5DAF"/>
    <w:rsid w:val="00BE5F38"/>
    <w:rsid w:val="00BE7E7D"/>
    <w:rsid w:val="00BF0408"/>
    <w:rsid w:val="00BF1BC9"/>
    <w:rsid w:val="00BF1EED"/>
    <w:rsid w:val="00BF2468"/>
    <w:rsid w:val="00BF3526"/>
    <w:rsid w:val="00BF3EE4"/>
    <w:rsid w:val="00BF464E"/>
    <w:rsid w:val="00BF4C0A"/>
    <w:rsid w:val="00BF4D15"/>
    <w:rsid w:val="00BF5486"/>
    <w:rsid w:val="00BF6DDF"/>
    <w:rsid w:val="00BF720D"/>
    <w:rsid w:val="00C00443"/>
    <w:rsid w:val="00C02F79"/>
    <w:rsid w:val="00C032F8"/>
    <w:rsid w:val="00C03758"/>
    <w:rsid w:val="00C04878"/>
    <w:rsid w:val="00C04BB6"/>
    <w:rsid w:val="00C050DF"/>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21CC"/>
    <w:rsid w:val="00C13C92"/>
    <w:rsid w:val="00C14F8E"/>
    <w:rsid w:val="00C15769"/>
    <w:rsid w:val="00C15AD1"/>
    <w:rsid w:val="00C15EF6"/>
    <w:rsid w:val="00C15FB7"/>
    <w:rsid w:val="00C163CE"/>
    <w:rsid w:val="00C1682E"/>
    <w:rsid w:val="00C171D5"/>
    <w:rsid w:val="00C176CA"/>
    <w:rsid w:val="00C17C0B"/>
    <w:rsid w:val="00C17C46"/>
    <w:rsid w:val="00C21989"/>
    <w:rsid w:val="00C21D5B"/>
    <w:rsid w:val="00C23B94"/>
    <w:rsid w:val="00C23C78"/>
    <w:rsid w:val="00C2413C"/>
    <w:rsid w:val="00C24647"/>
    <w:rsid w:val="00C25676"/>
    <w:rsid w:val="00C25C3C"/>
    <w:rsid w:val="00C25EFF"/>
    <w:rsid w:val="00C307F8"/>
    <w:rsid w:val="00C30FE9"/>
    <w:rsid w:val="00C314CB"/>
    <w:rsid w:val="00C31EAB"/>
    <w:rsid w:val="00C31F0F"/>
    <w:rsid w:val="00C32359"/>
    <w:rsid w:val="00C324B9"/>
    <w:rsid w:val="00C3384F"/>
    <w:rsid w:val="00C33DD0"/>
    <w:rsid w:val="00C33FA4"/>
    <w:rsid w:val="00C34486"/>
    <w:rsid w:val="00C34EE3"/>
    <w:rsid w:val="00C35D46"/>
    <w:rsid w:val="00C368A9"/>
    <w:rsid w:val="00C36A18"/>
    <w:rsid w:val="00C40893"/>
    <w:rsid w:val="00C40BA6"/>
    <w:rsid w:val="00C4139E"/>
    <w:rsid w:val="00C413F9"/>
    <w:rsid w:val="00C4159C"/>
    <w:rsid w:val="00C43562"/>
    <w:rsid w:val="00C437DF"/>
    <w:rsid w:val="00C44AE1"/>
    <w:rsid w:val="00C45F41"/>
    <w:rsid w:val="00C45F74"/>
    <w:rsid w:val="00C461EA"/>
    <w:rsid w:val="00C4725A"/>
    <w:rsid w:val="00C5057D"/>
    <w:rsid w:val="00C50C88"/>
    <w:rsid w:val="00C5112E"/>
    <w:rsid w:val="00C513E0"/>
    <w:rsid w:val="00C51CBF"/>
    <w:rsid w:val="00C521E5"/>
    <w:rsid w:val="00C523EF"/>
    <w:rsid w:val="00C52711"/>
    <w:rsid w:val="00C52AC8"/>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66AA"/>
    <w:rsid w:val="00C57457"/>
    <w:rsid w:val="00C57E2D"/>
    <w:rsid w:val="00C60C38"/>
    <w:rsid w:val="00C610C0"/>
    <w:rsid w:val="00C6114F"/>
    <w:rsid w:val="00C6115F"/>
    <w:rsid w:val="00C62517"/>
    <w:rsid w:val="00C628EA"/>
    <w:rsid w:val="00C62EE7"/>
    <w:rsid w:val="00C634F3"/>
    <w:rsid w:val="00C646A4"/>
    <w:rsid w:val="00C64AA3"/>
    <w:rsid w:val="00C65711"/>
    <w:rsid w:val="00C65C1F"/>
    <w:rsid w:val="00C6645E"/>
    <w:rsid w:val="00C66B13"/>
    <w:rsid w:val="00C67A1A"/>
    <w:rsid w:val="00C708C5"/>
    <w:rsid w:val="00C72BCA"/>
    <w:rsid w:val="00C73A40"/>
    <w:rsid w:val="00C73CC1"/>
    <w:rsid w:val="00C7427A"/>
    <w:rsid w:val="00C7527E"/>
    <w:rsid w:val="00C7544B"/>
    <w:rsid w:val="00C75704"/>
    <w:rsid w:val="00C75B80"/>
    <w:rsid w:val="00C75BC7"/>
    <w:rsid w:val="00C764CD"/>
    <w:rsid w:val="00C7717C"/>
    <w:rsid w:val="00C77FAC"/>
    <w:rsid w:val="00C812FC"/>
    <w:rsid w:val="00C81308"/>
    <w:rsid w:val="00C81753"/>
    <w:rsid w:val="00C822E5"/>
    <w:rsid w:val="00C82B77"/>
    <w:rsid w:val="00C82E99"/>
    <w:rsid w:val="00C84517"/>
    <w:rsid w:val="00C850C9"/>
    <w:rsid w:val="00C86A3D"/>
    <w:rsid w:val="00C86ED5"/>
    <w:rsid w:val="00C900C6"/>
    <w:rsid w:val="00C9040F"/>
    <w:rsid w:val="00C90821"/>
    <w:rsid w:val="00C908F5"/>
    <w:rsid w:val="00C90DB9"/>
    <w:rsid w:val="00C916A1"/>
    <w:rsid w:val="00C91CA8"/>
    <w:rsid w:val="00C92766"/>
    <w:rsid w:val="00C93D6A"/>
    <w:rsid w:val="00C93EA1"/>
    <w:rsid w:val="00C94808"/>
    <w:rsid w:val="00C94B7F"/>
    <w:rsid w:val="00C94BFB"/>
    <w:rsid w:val="00C94F12"/>
    <w:rsid w:val="00C96A7C"/>
    <w:rsid w:val="00C96C5D"/>
    <w:rsid w:val="00C96E99"/>
    <w:rsid w:val="00C97DD1"/>
    <w:rsid w:val="00CA0829"/>
    <w:rsid w:val="00CA0C4B"/>
    <w:rsid w:val="00CA18DA"/>
    <w:rsid w:val="00CA193B"/>
    <w:rsid w:val="00CA19AA"/>
    <w:rsid w:val="00CA1C9C"/>
    <w:rsid w:val="00CA2F58"/>
    <w:rsid w:val="00CA3C78"/>
    <w:rsid w:val="00CA3C84"/>
    <w:rsid w:val="00CA5B7A"/>
    <w:rsid w:val="00CA5C8F"/>
    <w:rsid w:val="00CA5E26"/>
    <w:rsid w:val="00CA6525"/>
    <w:rsid w:val="00CB0937"/>
    <w:rsid w:val="00CB0B8E"/>
    <w:rsid w:val="00CB0E15"/>
    <w:rsid w:val="00CB1E99"/>
    <w:rsid w:val="00CB23A0"/>
    <w:rsid w:val="00CB2B53"/>
    <w:rsid w:val="00CB2F9E"/>
    <w:rsid w:val="00CB34D7"/>
    <w:rsid w:val="00CB3561"/>
    <w:rsid w:val="00CB372F"/>
    <w:rsid w:val="00CB3D35"/>
    <w:rsid w:val="00CB4EE7"/>
    <w:rsid w:val="00CB52E9"/>
    <w:rsid w:val="00CB5BD4"/>
    <w:rsid w:val="00CB6318"/>
    <w:rsid w:val="00CB6DFB"/>
    <w:rsid w:val="00CB7634"/>
    <w:rsid w:val="00CB7DEB"/>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5620"/>
    <w:rsid w:val="00CD6214"/>
    <w:rsid w:val="00CD6C5E"/>
    <w:rsid w:val="00CD7645"/>
    <w:rsid w:val="00CD7881"/>
    <w:rsid w:val="00CE05F8"/>
    <w:rsid w:val="00CE0892"/>
    <w:rsid w:val="00CE11FA"/>
    <w:rsid w:val="00CE1E74"/>
    <w:rsid w:val="00CE25E8"/>
    <w:rsid w:val="00CE2A6B"/>
    <w:rsid w:val="00CE2AC2"/>
    <w:rsid w:val="00CE3A7C"/>
    <w:rsid w:val="00CE401D"/>
    <w:rsid w:val="00CE4766"/>
    <w:rsid w:val="00CE4C25"/>
    <w:rsid w:val="00CE5378"/>
    <w:rsid w:val="00CE5547"/>
    <w:rsid w:val="00CE5B6B"/>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5D16"/>
    <w:rsid w:val="00CF638B"/>
    <w:rsid w:val="00CF68D1"/>
    <w:rsid w:val="00CF7EA7"/>
    <w:rsid w:val="00CF7EF0"/>
    <w:rsid w:val="00D00ADA"/>
    <w:rsid w:val="00D0126A"/>
    <w:rsid w:val="00D0163A"/>
    <w:rsid w:val="00D016A0"/>
    <w:rsid w:val="00D01836"/>
    <w:rsid w:val="00D01A8F"/>
    <w:rsid w:val="00D029E1"/>
    <w:rsid w:val="00D032CE"/>
    <w:rsid w:val="00D032CF"/>
    <w:rsid w:val="00D044F1"/>
    <w:rsid w:val="00D0498E"/>
    <w:rsid w:val="00D04F06"/>
    <w:rsid w:val="00D055AD"/>
    <w:rsid w:val="00D05EDC"/>
    <w:rsid w:val="00D062E6"/>
    <w:rsid w:val="00D066D7"/>
    <w:rsid w:val="00D066F3"/>
    <w:rsid w:val="00D06A9A"/>
    <w:rsid w:val="00D0737B"/>
    <w:rsid w:val="00D07784"/>
    <w:rsid w:val="00D10564"/>
    <w:rsid w:val="00D11309"/>
    <w:rsid w:val="00D114AF"/>
    <w:rsid w:val="00D11D4E"/>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5D08"/>
    <w:rsid w:val="00D26CD8"/>
    <w:rsid w:val="00D270A9"/>
    <w:rsid w:val="00D27191"/>
    <w:rsid w:val="00D27AC0"/>
    <w:rsid w:val="00D301AC"/>
    <w:rsid w:val="00D3032F"/>
    <w:rsid w:val="00D306A3"/>
    <w:rsid w:val="00D30DA6"/>
    <w:rsid w:val="00D30FF1"/>
    <w:rsid w:val="00D322F4"/>
    <w:rsid w:val="00D3290D"/>
    <w:rsid w:val="00D32985"/>
    <w:rsid w:val="00D32BC8"/>
    <w:rsid w:val="00D32F7E"/>
    <w:rsid w:val="00D33171"/>
    <w:rsid w:val="00D33369"/>
    <w:rsid w:val="00D33FCF"/>
    <w:rsid w:val="00D34290"/>
    <w:rsid w:val="00D34AFA"/>
    <w:rsid w:val="00D34C9A"/>
    <w:rsid w:val="00D36023"/>
    <w:rsid w:val="00D36B4B"/>
    <w:rsid w:val="00D36CD5"/>
    <w:rsid w:val="00D375D4"/>
    <w:rsid w:val="00D37A15"/>
    <w:rsid w:val="00D40023"/>
    <w:rsid w:val="00D41853"/>
    <w:rsid w:val="00D42669"/>
    <w:rsid w:val="00D42D90"/>
    <w:rsid w:val="00D43C99"/>
    <w:rsid w:val="00D43EF7"/>
    <w:rsid w:val="00D44784"/>
    <w:rsid w:val="00D44874"/>
    <w:rsid w:val="00D45A19"/>
    <w:rsid w:val="00D45BF5"/>
    <w:rsid w:val="00D46065"/>
    <w:rsid w:val="00D46666"/>
    <w:rsid w:val="00D47481"/>
    <w:rsid w:val="00D4754A"/>
    <w:rsid w:val="00D47E4B"/>
    <w:rsid w:val="00D51998"/>
    <w:rsid w:val="00D51E34"/>
    <w:rsid w:val="00D528CF"/>
    <w:rsid w:val="00D52B22"/>
    <w:rsid w:val="00D5323B"/>
    <w:rsid w:val="00D538FA"/>
    <w:rsid w:val="00D54C35"/>
    <w:rsid w:val="00D54E86"/>
    <w:rsid w:val="00D5538B"/>
    <w:rsid w:val="00D55877"/>
    <w:rsid w:val="00D561EE"/>
    <w:rsid w:val="00D565D3"/>
    <w:rsid w:val="00D56B79"/>
    <w:rsid w:val="00D56FD7"/>
    <w:rsid w:val="00D57234"/>
    <w:rsid w:val="00D57977"/>
    <w:rsid w:val="00D579C3"/>
    <w:rsid w:val="00D57DB7"/>
    <w:rsid w:val="00D6138A"/>
    <w:rsid w:val="00D6233F"/>
    <w:rsid w:val="00D62CDC"/>
    <w:rsid w:val="00D63008"/>
    <w:rsid w:val="00D63F0F"/>
    <w:rsid w:val="00D6404C"/>
    <w:rsid w:val="00D64F4D"/>
    <w:rsid w:val="00D64F97"/>
    <w:rsid w:val="00D66A59"/>
    <w:rsid w:val="00D67954"/>
    <w:rsid w:val="00D67D2A"/>
    <w:rsid w:val="00D70467"/>
    <w:rsid w:val="00D70487"/>
    <w:rsid w:val="00D706B9"/>
    <w:rsid w:val="00D70FE1"/>
    <w:rsid w:val="00D71410"/>
    <w:rsid w:val="00D7157D"/>
    <w:rsid w:val="00D71EEC"/>
    <w:rsid w:val="00D73079"/>
    <w:rsid w:val="00D73440"/>
    <w:rsid w:val="00D73A8E"/>
    <w:rsid w:val="00D7473E"/>
    <w:rsid w:val="00D750E5"/>
    <w:rsid w:val="00D758E9"/>
    <w:rsid w:val="00D75E1B"/>
    <w:rsid w:val="00D7645F"/>
    <w:rsid w:val="00D76668"/>
    <w:rsid w:val="00D770C8"/>
    <w:rsid w:val="00D77AAE"/>
    <w:rsid w:val="00D804E2"/>
    <w:rsid w:val="00D8054C"/>
    <w:rsid w:val="00D80824"/>
    <w:rsid w:val="00D80D6D"/>
    <w:rsid w:val="00D80ED7"/>
    <w:rsid w:val="00D80F86"/>
    <w:rsid w:val="00D81836"/>
    <w:rsid w:val="00D82094"/>
    <w:rsid w:val="00D82E11"/>
    <w:rsid w:val="00D83779"/>
    <w:rsid w:val="00D8378D"/>
    <w:rsid w:val="00D83BE1"/>
    <w:rsid w:val="00D8500D"/>
    <w:rsid w:val="00D86988"/>
    <w:rsid w:val="00D86BFF"/>
    <w:rsid w:val="00D87319"/>
    <w:rsid w:val="00D87653"/>
    <w:rsid w:val="00D905D9"/>
    <w:rsid w:val="00D90729"/>
    <w:rsid w:val="00D907C9"/>
    <w:rsid w:val="00D90F56"/>
    <w:rsid w:val="00D914F3"/>
    <w:rsid w:val="00D9271C"/>
    <w:rsid w:val="00D9272E"/>
    <w:rsid w:val="00D92B90"/>
    <w:rsid w:val="00D931C4"/>
    <w:rsid w:val="00D9364F"/>
    <w:rsid w:val="00D9510C"/>
    <w:rsid w:val="00D96542"/>
    <w:rsid w:val="00D9667F"/>
    <w:rsid w:val="00D96E20"/>
    <w:rsid w:val="00D97799"/>
    <w:rsid w:val="00DA0859"/>
    <w:rsid w:val="00DA0B23"/>
    <w:rsid w:val="00DA115E"/>
    <w:rsid w:val="00DA1279"/>
    <w:rsid w:val="00DA1597"/>
    <w:rsid w:val="00DA29A7"/>
    <w:rsid w:val="00DA2FB5"/>
    <w:rsid w:val="00DA311E"/>
    <w:rsid w:val="00DA3895"/>
    <w:rsid w:val="00DA3E31"/>
    <w:rsid w:val="00DA453D"/>
    <w:rsid w:val="00DA46D4"/>
    <w:rsid w:val="00DA523D"/>
    <w:rsid w:val="00DA5C03"/>
    <w:rsid w:val="00DA73C8"/>
    <w:rsid w:val="00DA7538"/>
    <w:rsid w:val="00DB041B"/>
    <w:rsid w:val="00DB1781"/>
    <w:rsid w:val="00DB185E"/>
    <w:rsid w:val="00DB2111"/>
    <w:rsid w:val="00DB21FC"/>
    <w:rsid w:val="00DB24C0"/>
    <w:rsid w:val="00DB259E"/>
    <w:rsid w:val="00DB3650"/>
    <w:rsid w:val="00DB3896"/>
    <w:rsid w:val="00DB3BF9"/>
    <w:rsid w:val="00DB4F22"/>
    <w:rsid w:val="00DB5A14"/>
    <w:rsid w:val="00DB5AFA"/>
    <w:rsid w:val="00DB5E0B"/>
    <w:rsid w:val="00DB7AC8"/>
    <w:rsid w:val="00DB7BDC"/>
    <w:rsid w:val="00DB7CF1"/>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C7FB3"/>
    <w:rsid w:val="00DD0678"/>
    <w:rsid w:val="00DD0679"/>
    <w:rsid w:val="00DD0747"/>
    <w:rsid w:val="00DD3124"/>
    <w:rsid w:val="00DD37FD"/>
    <w:rsid w:val="00DD3E0F"/>
    <w:rsid w:val="00DD526F"/>
    <w:rsid w:val="00DD5E21"/>
    <w:rsid w:val="00DD65AC"/>
    <w:rsid w:val="00DD6CEA"/>
    <w:rsid w:val="00DE00D2"/>
    <w:rsid w:val="00DE0133"/>
    <w:rsid w:val="00DE062B"/>
    <w:rsid w:val="00DE0C09"/>
    <w:rsid w:val="00DE0CC8"/>
    <w:rsid w:val="00DE0E8B"/>
    <w:rsid w:val="00DE109C"/>
    <w:rsid w:val="00DE17A8"/>
    <w:rsid w:val="00DE17FB"/>
    <w:rsid w:val="00DE1CA4"/>
    <w:rsid w:val="00DE2373"/>
    <w:rsid w:val="00DE3558"/>
    <w:rsid w:val="00DE36A5"/>
    <w:rsid w:val="00DE375E"/>
    <w:rsid w:val="00DE3909"/>
    <w:rsid w:val="00DE39D0"/>
    <w:rsid w:val="00DE3C05"/>
    <w:rsid w:val="00DE4398"/>
    <w:rsid w:val="00DE4A80"/>
    <w:rsid w:val="00DE57B2"/>
    <w:rsid w:val="00DE5924"/>
    <w:rsid w:val="00DE60D7"/>
    <w:rsid w:val="00DE620D"/>
    <w:rsid w:val="00DE6853"/>
    <w:rsid w:val="00DE6C59"/>
    <w:rsid w:val="00DE7A58"/>
    <w:rsid w:val="00DE7E5C"/>
    <w:rsid w:val="00DF0620"/>
    <w:rsid w:val="00DF0797"/>
    <w:rsid w:val="00DF0DEE"/>
    <w:rsid w:val="00DF115E"/>
    <w:rsid w:val="00DF1B98"/>
    <w:rsid w:val="00DF1FC1"/>
    <w:rsid w:val="00DF235F"/>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0C70"/>
    <w:rsid w:val="00E014B4"/>
    <w:rsid w:val="00E0254C"/>
    <w:rsid w:val="00E0314C"/>
    <w:rsid w:val="00E03267"/>
    <w:rsid w:val="00E03C5C"/>
    <w:rsid w:val="00E03CED"/>
    <w:rsid w:val="00E03F27"/>
    <w:rsid w:val="00E046A3"/>
    <w:rsid w:val="00E05773"/>
    <w:rsid w:val="00E05C7F"/>
    <w:rsid w:val="00E065FE"/>
    <w:rsid w:val="00E06700"/>
    <w:rsid w:val="00E06ABD"/>
    <w:rsid w:val="00E072B0"/>
    <w:rsid w:val="00E077FB"/>
    <w:rsid w:val="00E102F5"/>
    <w:rsid w:val="00E1085B"/>
    <w:rsid w:val="00E10D32"/>
    <w:rsid w:val="00E1109A"/>
    <w:rsid w:val="00E1117D"/>
    <w:rsid w:val="00E1118A"/>
    <w:rsid w:val="00E12089"/>
    <w:rsid w:val="00E1332E"/>
    <w:rsid w:val="00E135BF"/>
    <w:rsid w:val="00E1378D"/>
    <w:rsid w:val="00E145F2"/>
    <w:rsid w:val="00E14715"/>
    <w:rsid w:val="00E156E0"/>
    <w:rsid w:val="00E15FB0"/>
    <w:rsid w:val="00E16712"/>
    <w:rsid w:val="00E171E3"/>
    <w:rsid w:val="00E171EE"/>
    <w:rsid w:val="00E178FD"/>
    <w:rsid w:val="00E17C15"/>
    <w:rsid w:val="00E20055"/>
    <w:rsid w:val="00E20F11"/>
    <w:rsid w:val="00E21003"/>
    <w:rsid w:val="00E21314"/>
    <w:rsid w:val="00E21658"/>
    <w:rsid w:val="00E21774"/>
    <w:rsid w:val="00E21944"/>
    <w:rsid w:val="00E21D08"/>
    <w:rsid w:val="00E223BA"/>
    <w:rsid w:val="00E225D9"/>
    <w:rsid w:val="00E23E70"/>
    <w:rsid w:val="00E2461E"/>
    <w:rsid w:val="00E25434"/>
    <w:rsid w:val="00E25703"/>
    <w:rsid w:val="00E25D76"/>
    <w:rsid w:val="00E2648F"/>
    <w:rsid w:val="00E2714F"/>
    <w:rsid w:val="00E273E5"/>
    <w:rsid w:val="00E27D29"/>
    <w:rsid w:val="00E27F9F"/>
    <w:rsid w:val="00E30F9B"/>
    <w:rsid w:val="00E327E5"/>
    <w:rsid w:val="00E34725"/>
    <w:rsid w:val="00E34FF9"/>
    <w:rsid w:val="00E350D0"/>
    <w:rsid w:val="00E35D59"/>
    <w:rsid w:val="00E35F79"/>
    <w:rsid w:val="00E36137"/>
    <w:rsid w:val="00E4176B"/>
    <w:rsid w:val="00E436CA"/>
    <w:rsid w:val="00E43B8F"/>
    <w:rsid w:val="00E43E78"/>
    <w:rsid w:val="00E44498"/>
    <w:rsid w:val="00E44644"/>
    <w:rsid w:val="00E4473F"/>
    <w:rsid w:val="00E44ECB"/>
    <w:rsid w:val="00E44FF4"/>
    <w:rsid w:val="00E45A90"/>
    <w:rsid w:val="00E45CD0"/>
    <w:rsid w:val="00E464DB"/>
    <w:rsid w:val="00E46590"/>
    <w:rsid w:val="00E47024"/>
    <w:rsid w:val="00E478C2"/>
    <w:rsid w:val="00E47D30"/>
    <w:rsid w:val="00E47DAF"/>
    <w:rsid w:val="00E513A8"/>
    <w:rsid w:val="00E51771"/>
    <w:rsid w:val="00E523D7"/>
    <w:rsid w:val="00E52C31"/>
    <w:rsid w:val="00E52DD4"/>
    <w:rsid w:val="00E535E3"/>
    <w:rsid w:val="00E53ACC"/>
    <w:rsid w:val="00E53D36"/>
    <w:rsid w:val="00E53D8B"/>
    <w:rsid w:val="00E564C3"/>
    <w:rsid w:val="00E5660F"/>
    <w:rsid w:val="00E56A5C"/>
    <w:rsid w:val="00E56B40"/>
    <w:rsid w:val="00E56B76"/>
    <w:rsid w:val="00E56DE5"/>
    <w:rsid w:val="00E5701F"/>
    <w:rsid w:val="00E60875"/>
    <w:rsid w:val="00E60B7D"/>
    <w:rsid w:val="00E612A5"/>
    <w:rsid w:val="00E61F07"/>
    <w:rsid w:val="00E61F31"/>
    <w:rsid w:val="00E62620"/>
    <w:rsid w:val="00E62AD6"/>
    <w:rsid w:val="00E630B2"/>
    <w:rsid w:val="00E631CA"/>
    <w:rsid w:val="00E6325E"/>
    <w:rsid w:val="00E64063"/>
    <w:rsid w:val="00E641B4"/>
    <w:rsid w:val="00E64661"/>
    <w:rsid w:val="00E64988"/>
    <w:rsid w:val="00E64B31"/>
    <w:rsid w:val="00E64C5B"/>
    <w:rsid w:val="00E64F59"/>
    <w:rsid w:val="00E65423"/>
    <w:rsid w:val="00E65E75"/>
    <w:rsid w:val="00E65F6B"/>
    <w:rsid w:val="00E66AC3"/>
    <w:rsid w:val="00E6755A"/>
    <w:rsid w:val="00E707B6"/>
    <w:rsid w:val="00E7113B"/>
    <w:rsid w:val="00E720F1"/>
    <w:rsid w:val="00E72483"/>
    <w:rsid w:val="00E72673"/>
    <w:rsid w:val="00E72E58"/>
    <w:rsid w:val="00E74021"/>
    <w:rsid w:val="00E75B76"/>
    <w:rsid w:val="00E75D36"/>
    <w:rsid w:val="00E76E8D"/>
    <w:rsid w:val="00E76F48"/>
    <w:rsid w:val="00E7758E"/>
    <w:rsid w:val="00E7778D"/>
    <w:rsid w:val="00E77F5F"/>
    <w:rsid w:val="00E8074D"/>
    <w:rsid w:val="00E83098"/>
    <w:rsid w:val="00E8317B"/>
    <w:rsid w:val="00E83BF8"/>
    <w:rsid w:val="00E8436F"/>
    <w:rsid w:val="00E84C6B"/>
    <w:rsid w:val="00E84E5F"/>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25F8"/>
    <w:rsid w:val="00EA41F5"/>
    <w:rsid w:val="00EA42A0"/>
    <w:rsid w:val="00EA4E9D"/>
    <w:rsid w:val="00EA5729"/>
    <w:rsid w:val="00EA644D"/>
    <w:rsid w:val="00EA6624"/>
    <w:rsid w:val="00EA692E"/>
    <w:rsid w:val="00EA6F41"/>
    <w:rsid w:val="00EA7F57"/>
    <w:rsid w:val="00EB0194"/>
    <w:rsid w:val="00EB0266"/>
    <w:rsid w:val="00EB0D7E"/>
    <w:rsid w:val="00EB0FFD"/>
    <w:rsid w:val="00EB1046"/>
    <w:rsid w:val="00EB15C5"/>
    <w:rsid w:val="00EB1728"/>
    <w:rsid w:val="00EB1937"/>
    <w:rsid w:val="00EB21A7"/>
    <w:rsid w:val="00EB2BD5"/>
    <w:rsid w:val="00EB2EE7"/>
    <w:rsid w:val="00EB31C5"/>
    <w:rsid w:val="00EB3B1C"/>
    <w:rsid w:val="00EB4A25"/>
    <w:rsid w:val="00EB4A92"/>
    <w:rsid w:val="00EB4AFE"/>
    <w:rsid w:val="00EB4C9F"/>
    <w:rsid w:val="00EB60DF"/>
    <w:rsid w:val="00EB71B5"/>
    <w:rsid w:val="00EB71B7"/>
    <w:rsid w:val="00EB72E5"/>
    <w:rsid w:val="00EB73F7"/>
    <w:rsid w:val="00EB7516"/>
    <w:rsid w:val="00EB7B03"/>
    <w:rsid w:val="00EB7EF7"/>
    <w:rsid w:val="00EC03D7"/>
    <w:rsid w:val="00EC081A"/>
    <w:rsid w:val="00EC187C"/>
    <w:rsid w:val="00EC1C79"/>
    <w:rsid w:val="00EC271F"/>
    <w:rsid w:val="00EC2AC1"/>
    <w:rsid w:val="00EC2DFD"/>
    <w:rsid w:val="00EC34EF"/>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997"/>
    <w:rsid w:val="00ED2BAC"/>
    <w:rsid w:val="00ED3042"/>
    <w:rsid w:val="00ED329E"/>
    <w:rsid w:val="00ED3EBD"/>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46BD"/>
    <w:rsid w:val="00EE5E6D"/>
    <w:rsid w:val="00EE717D"/>
    <w:rsid w:val="00EE74A7"/>
    <w:rsid w:val="00EE7C60"/>
    <w:rsid w:val="00EF10FA"/>
    <w:rsid w:val="00EF18E7"/>
    <w:rsid w:val="00EF3FC8"/>
    <w:rsid w:val="00EF4268"/>
    <w:rsid w:val="00EF42E7"/>
    <w:rsid w:val="00EF4A92"/>
    <w:rsid w:val="00EF5260"/>
    <w:rsid w:val="00EF607B"/>
    <w:rsid w:val="00EF6C21"/>
    <w:rsid w:val="00F00E0F"/>
    <w:rsid w:val="00F0100C"/>
    <w:rsid w:val="00F0125A"/>
    <w:rsid w:val="00F01AF6"/>
    <w:rsid w:val="00F01B7E"/>
    <w:rsid w:val="00F022C9"/>
    <w:rsid w:val="00F02504"/>
    <w:rsid w:val="00F029AA"/>
    <w:rsid w:val="00F0365C"/>
    <w:rsid w:val="00F03914"/>
    <w:rsid w:val="00F0417E"/>
    <w:rsid w:val="00F04401"/>
    <w:rsid w:val="00F04535"/>
    <w:rsid w:val="00F04D65"/>
    <w:rsid w:val="00F058E8"/>
    <w:rsid w:val="00F06164"/>
    <w:rsid w:val="00F07864"/>
    <w:rsid w:val="00F07D1B"/>
    <w:rsid w:val="00F109C6"/>
    <w:rsid w:val="00F118E5"/>
    <w:rsid w:val="00F121D5"/>
    <w:rsid w:val="00F12E81"/>
    <w:rsid w:val="00F13397"/>
    <w:rsid w:val="00F13419"/>
    <w:rsid w:val="00F138BA"/>
    <w:rsid w:val="00F14511"/>
    <w:rsid w:val="00F1452A"/>
    <w:rsid w:val="00F14B77"/>
    <w:rsid w:val="00F14F94"/>
    <w:rsid w:val="00F15AF6"/>
    <w:rsid w:val="00F15DAD"/>
    <w:rsid w:val="00F1674C"/>
    <w:rsid w:val="00F172DF"/>
    <w:rsid w:val="00F17414"/>
    <w:rsid w:val="00F1764F"/>
    <w:rsid w:val="00F204DA"/>
    <w:rsid w:val="00F2070F"/>
    <w:rsid w:val="00F20AC2"/>
    <w:rsid w:val="00F20E5D"/>
    <w:rsid w:val="00F2100E"/>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A15"/>
    <w:rsid w:val="00F36EC1"/>
    <w:rsid w:val="00F3703F"/>
    <w:rsid w:val="00F37292"/>
    <w:rsid w:val="00F377E5"/>
    <w:rsid w:val="00F37C11"/>
    <w:rsid w:val="00F37D9C"/>
    <w:rsid w:val="00F4015B"/>
    <w:rsid w:val="00F40190"/>
    <w:rsid w:val="00F40AFC"/>
    <w:rsid w:val="00F40D73"/>
    <w:rsid w:val="00F40D80"/>
    <w:rsid w:val="00F41CDE"/>
    <w:rsid w:val="00F42285"/>
    <w:rsid w:val="00F42534"/>
    <w:rsid w:val="00F427E2"/>
    <w:rsid w:val="00F4307E"/>
    <w:rsid w:val="00F430AD"/>
    <w:rsid w:val="00F438BC"/>
    <w:rsid w:val="00F45596"/>
    <w:rsid w:val="00F46178"/>
    <w:rsid w:val="00F46A81"/>
    <w:rsid w:val="00F46C84"/>
    <w:rsid w:val="00F46FF5"/>
    <w:rsid w:val="00F476CB"/>
    <w:rsid w:val="00F501F0"/>
    <w:rsid w:val="00F5024E"/>
    <w:rsid w:val="00F503FA"/>
    <w:rsid w:val="00F53184"/>
    <w:rsid w:val="00F5362E"/>
    <w:rsid w:val="00F54704"/>
    <w:rsid w:val="00F5474D"/>
    <w:rsid w:val="00F548B2"/>
    <w:rsid w:val="00F54C2D"/>
    <w:rsid w:val="00F56F36"/>
    <w:rsid w:val="00F574ED"/>
    <w:rsid w:val="00F57BF7"/>
    <w:rsid w:val="00F601A9"/>
    <w:rsid w:val="00F60490"/>
    <w:rsid w:val="00F60899"/>
    <w:rsid w:val="00F60F5F"/>
    <w:rsid w:val="00F626AA"/>
    <w:rsid w:val="00F62BAB"/>
    <w:rsid w:val="00F632E1"/>
    <w:rsid w:val="00F638B0"/>
    <w:rsid w:val="00F63A61"/>
    <w:rsid w:val="00F6585E"/>
    <w:rsid w:val="00F703A7"/>
    <w:rsid w:val="00F706EB"/>
    <w:rsid w:val="00F72392"/>
    <w:rsid w:val="00F7258C"/>
    <w:rsid w:val="00F72CFA"/>
    <w:rsid w:val="00F72F55"/>
    <w:rsid w:val="00F733B1"/>
    <w:rsid w:val="00F73944"/>
    <w:rsid w:val="00F73B9C"/>
    <w:rsid w:val="00F73C22"/>
    <w:rsid w:val="00F73C9D"/>
    <w:rsid w:val="00F74E02"/>
    <w:rsid w:val="00F753C3"/>
    <w:rsid w:val="00F7573D"/>
    <w:rsid w:val="00F75964"/>
    <w:rsid w:val="00F76606"/>
    <w:rsid w:val="00F77BC8"/>
    <w:rsid w:val="00F77DD5"/>
    <w:rsid w:val="00F77E11"/>
    <w:rsid w:val="00F77F9F"/>
    <w:rsid w:val="00F80A8C"/>
    <w:rsid w:val="00F80F82"/>
    <w:rsid w:val="00F81799"/>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B61"/>
    <w:rsid w:val="00F97C4C"/>
    <w:rsid w:val="00F97F4A"/>
    <w:rsid w:val="00FA070B"/>
    <w:rsid w:val="00FA0880"/>
    <w:rsid w:val="00FA17CD"/>
    <w:rsid w:val="00FA1AB7"/>
    <w:rsid w:val="00FA1AE1"/>
    <w:rsid w:val="00FA1B1C"/>
    <w:rsid w:val="00FA20E4"/>
    <w:rsid w:val="00FA2C3C"/>
    <w:rsid w:val="00FA2D20"/>
    <w:rsid w:val="00FA2F83"/>
    <w:rsid w:val="00FA36BB"/>
    <w:rsid w:val="00FA4889"/>
    <w:rsid w:val="00FA4AF7"/>
    <w:rsid w:val="00FA4C19"/>
    <w:rsid w:val="00FA4CAC"/>
    <w:rsid w:val="00FA5289"/>
    <w:rsid w:val="00FA52B1"/>
    <w:rsid w:val="00FA609F"/>
    <w:rsid w:val="00FA657A"/>
    <w:rsid w:val="00FA6667"/>
    <w:rsid w:val="00FA6C2D"/>
    <w:rsid w:val="00FB02AA"/>
    <w:rsid w:val="00FB0DFB"/>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5DE"/>
    <w:rsid w:val="00FC6AC3"/>
    <w:rsid w:val="00FC740F"/>
    <w:rsid w:val="00FC7DF3"/>
    <w:rsid w:val="00FD1149"/>
    <w:rsid w:val="00FD1214"/>
    <w:rsid w:val="00FD18AA"/>
    <w:rsid w:val="00FD1A15"/>
    <w:rsid w:val="00FD1BE5"/>
    <w:rsid w:val="00FD2761"/>
    <w:rsid w:val="00FD2CCB"/>
    <w:rsid w:val="00FD2F90"/>
    <w:rsid w:val="00FD36CF"/>
    <w:rsid w:val="00FD3E60"/>
    <w:rsid w:val="00FD4758"/>
    <w:rsid w:val="00FD485E"/>
    <w:rsid w:val="00FD49BA"/>
    <w:rsid w:val="00FD4A22"/>
    <w:rsid w:val="00FD4BC1"/>
    <w:rsid w:val="00FD4E9C"/>
    <w:rsid w:val="00FD63F1"/>
    <w:rsid w:val="00FD68F7"/>
    <w:rsid w:val="00FD7140"/>
    <w:rsid w:val="00FD7F98"/>
    <w:rsid w:val="00FE039F"/>
    <w:rsid w:val="00FE1E70"/>
    <w:rsid w:val="00FE1E85"/>
    <w:rsid w:val="00FE22B1"/>
    <w:rsid w:val="00FE2BDE"/>
    <w:rsid w:val="00FE2DF2"/>
    <w:rsid w:val="00FE3F15"/>
    <w:rsid w:val="00FE4B94"/>
    <w:rsid w:val="00FE5499"/>
    <w:rsid w:val="00FE576C"/>
    <w:rsid w:val="00FE5C87"/>
    <w:rsid w:val="00FE5E20"/>
    <w:rsid w:val="00FE5F2B"/>
    <w:rsid w:val="00FE6495"/>
    <w:rsid w:val="00FE65E1"/>
    <w:rsid w:val="00FE6632"/>
    <w:rsid w:val="00FE6A53"/>
    <w:rsid w:val="00FE7076"/>
    <w:rsid w:val="00FE7FC4"/>
    <w:rsid w:val="00FF01C5"/>
    <w:rsid w:val="00FF14C7"/>
    <w:rsid w:val="00FF1A21"/>
    <w:rsid w:val="00FF2195"/>
    <w:rsid w:val="00FF30BD"/>
    <w:rsid w:val="00FF3352"/>
    <w:rsid w:val="00FF37D6"/>
    <w:rsid w:val="00FF388E"/>
    <w:rsid w:val="00FF3A50"/>
    <w:rsid w:val="00FF3B75"/>
    <w:rsid w:val="00FF46F4"/>
    <w:rsid w:val="00FF4918"/>
    <w:rsid w:val="00FF492C"/>
    <w:rsid w:val="00FF4D3C"/>
    <w:rsid w:val="00FF60F0"/>
    <w:rsid w:val="00FF6695"/>
    <w:rsid w:val="00FF68F8"/>
    <w:rsid w:val="00FF6A78"/>
    <w:rsid w:val="00FF6EA5"/>
    <w:rsid w:val="00FF75D4"/>
    <w:rsid w:val="00FF7AC0"/>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3CB161D"/>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F0E4-E9FC-4BEE-84C4-4B0AB6E2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2999</Words>
  <Characters>17100</Characters>
  <Application>Microsoft Office Word</Application>
  <DocSecurity>0</DocSecurity>
  <Lines>142</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20059</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Alessandro Ingegno</cp:lastModifiedBy>
  <cp:revision>71</cp:revision>
  <cp:lastPrinted>2019-07-19T12:34:00Z</cp:lastPrinted>
  <dcterms:created xsi:type="dcterms:W3CDTF">2019-07-18T10:28:00Z</dcterms:created>
  <dcterms:modified xsi:type="dcterms:W3CDTF">2019-07-29T09:02:00Z</dcterms:modified>
</cp:coreProperties>
</file>